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77E94" w14:textId="77777777" w:rsidR="00115965" w:rsidRDefault="00115965" w:rsidP="00D24C21">
      <w:pPr>
        <w:pStyle w:val="Title"/>
      </w:pPr>
      <w:bookmarkStart w:id="0" w:name="_GoBack"/>
      <w:bookmarkEnd w:id="0"/>
    </w:p>
    <w:p w14:paraId="3E1C5E6A" w14:textId="646E1BA5" w:rsidR="00D24C21" w:rsidRDefault="00D24C21" w:rsidP="00D24C21">
      <w:pPr>
        <w:pStyle w:val="Title"/>
      </w:pPr>
      <w:r w:rsidRPr="00D24C21">
        <w:t>Programme Design and Development Code of Practice</w:t>
      </w:r>
    </w:p>
    <w:p w14:paraId="57BB3033" w14:textId="77777777" w:rsidR="00BE2333" w:rsidRDefault="00BE2333" w:rsidP="00D24C21"/>
    <w:p w14:paraId="39DBE7E7" w14:textId="49228936" w:rsidR="004215C6" w:rsidRDefault="004215C6" w:rsidP="00BE2333">
      <w:pPr>
        <w:pStyle w:val="Heading2"/>
        <w:jc w:val="right"/>
        <w:rPr>
          <w:rStyle w:val="Heading3Char"/>
          <w:b w:val="0"/>
        </w:rPr>
      </w:pPr>
      <w:bookmarkStart w:id="1" w:name="_Toc85620289"/>
      <w:bookmarkStart w:id="2" w:name="_Toc85620307"/>
      <w:bookmarkStart w:id="3" w:name="_Toc85620365"/>
      <w:r>
        <w:rPr>
          <w:rStyle w:val="Heading3Char"/>
          <w:b w:val="0"/>
        </w:rPr>
        <w:t>Academic Governance Approval</w:t>
      </w:r>
      <w:bookmarkEnd w:id="1"/>
      <w:bookmarkEnd w:id="2"/>
      <w:bookmarkEnd w:id="3"/>
    </w:p>
    <w:p w14:paraId="5CC92510" w14:textId="352DA5FE" w:rsidR="004215C6" w:rsidRDefault="004215C6" w:rsidP="00BE2333">
      <w:pPr>
        <w:pStyle w:val="Heading2"/>
        <w:jc w:val="right"/>
        <w:rPr>
          <w:b w:val="0"/>
        </w:rPr>
      </w:pPr>
      <w:bookmarkStart w:id="4" w:name="_Toc85620290"/>
      <w:bookmarkStart w:id="5" w:name="_Toc85620308"/>
      <w:bookmarkStart w:id="6" w:name="_Toc85620366"/>
      <w:r>
        <w:rPr>
          <w:b w:val="0"/>
        </w:rPr>
        <w:t>Academic Quality and Standards Committee (AQSC)</w:t>
      </w:r>
      <w:bookmarkEnd w:id="4"/>
      <w:bookmarkEnd w:id="5"/>
      <w:bookmarkEnd w:id="6"/>
    </w:p>
    <w:p w14:paraId="3345C6A8" w14:textId="77777777" w:rsidR="004215C6" w:rsidRPr="004215C6" w:rsidRDefault="004215C6" w:rsidP="004215C6"/>
    <w:p w14:paraId="660FAFD2" w14:textId="27485E05" w:rsidR="004215C6" w:rsidRDefault="004215C6" w:rsidP="004215C6">
      <w:pPr>
        <w:pStyle w:val="Heading2"/>
        <w:jc w:val="right"/>
        <w:rPr>
          <w:rStyle w:val="Heading3Char"/>
          <w:b w:val="0"/>
        </w:rPr>
      </w:pPr>
      <w:bookmarkStart w:id="7" w:name="_Toc85620291"/>
      <w:bookmarkStart w:id="8" w:name="_Toc85620309"/>
      <w:bookmarkStart w:id="9" w:name="_Toc85620367"/>
      <w:r>
        <w:rPr>
          <w:rStyle w:val="Heading3Char"/>
          <w:b w:val="0"/>
        </w:rPr>
        <w:t>Academic Sponsor</w:t>
      </w:r>
      <w:bookmarkEnd w:id="7"/>
      <w:bookmarkEnd w:id="8"/>
      <w:bookmarkEnd w:id="9"/>
    </w:p>
    <w:p w14:paraId="1E4BBB16" w14:textId="6D457735" w:rsidR="004215C6" w:rsidRDefault="004215C6" w:rsidP="004215C6">
      <w:pPr>
        <w:jc w:val="right"/>
      </w:pPr>
      <w:r>
        <w:t xml:space="preserve">Pro Vice-Chancellor (Education and </w:t>
      </w:r>
      <w:r w:rsidR="00B11CC5">
        <w:t>Students</w:t>
      </w:r>
      <w:r>
        <w:t>)</w:t>
      </w:r>
    </w:p>
    <w:p w14:paraId="1CFE137F" w14:textId="77777777" w:rsidR="004215C6" w:rsidRPr="004215C6" w:rsidRDefault="004215C6" w:rsidP="004215C6">
      <w:pPr>
        <w:jc w:val="right"/>
      </w:pPr>
    </w:p>
    <w:p w14:paraId="5E09B33A" w14:textId="77777777" w:rsidR="004215C6" w:rsidRDefault="004215C6" w:rsidP="00BE2333">
      <w:pPr>
        <w:pStyle w:val="Heading2"/>
        <w:jc w:val="right"/>
        <w:rPr>
          <w:rStyle w:val="Heading3Char"/>
          <w:b w:val="0"/>
        </w:rPr>
      </w:pPr>
      <w:bookmarkStart w:id="10" w:name="_Toc85620292"/>
      <w:bookmarkStart w:id="11" w:name="_Toc85620310"/>
      <w:bookmarkStart w:id="12" w:name="_Toc85620368"/>
      <w:r>
        <w:rPr>
          <w:rStyle w:val="Heading3Char"/>
          <w:b w:val="0"/>
        </w:rPr>
        <w:t>Professional Services</w:t>
      </w:r>
      <w:r w:rsidRPr="004215C6">
        <w:rPr>
          <w:rStyle w:val="Heading3Char"/>
          <w:b w:val="0"/>
        </w:rPr>
        <w:t xml:space="preserve"> </w:t>
      </w:r>
      <w:r w:rsidR="00BE2333" w:rsidRPr="004215C6">
        <w:rPr>
          <w:rStyle w:val="Heading3Char"/>
          <w:b w:val="0"/>
        </w:rPr>
        <w:t>Owner</w:t>
      </w:r>
      <w:bookmarkEnd w:id="10"/>
      <w:bookmarkEnd w:id="11"/>
      <w:bookmarkEnd w:id="12"/>
    </w:p>
    <w:p w14:paraId="61C1F88A" w14:textId="77777777" w:rsidR="00D24C21" w:rsidRDefault="00BE2333" w:rsidP="00BE2333">
      <w:pPr>
        <w:pStyle w:val="Heading2"/>
        <w:jc w:val="right"/>
        <w:rPr>
          <w:b w:val="0"/>
        </w:rPr>
      </w:pPr>
      <w:bookmarkStart w:id="13" w:name="_Toc85620293"/>
      <w:bookmarkStart w:id="14" w:name="_Toc85620311"/>
      <w:bookmarkStart w:id="15" w:name="_Toc85620369"/>
      <w:r w:rsidRPr="00BE2333">
        <w:rPr>
          <w:b w:val="0"/>
        </w:rPr>
        <w:t>Assistant Registrar (</w:t>
      </w:r>
      <w:r>
        <w:rPr>
          <w:b w:val="0"/>
        </w:rPr>
        <w:t>Quality, Assessment and Partnerships</w:t>
      </w:r>
      <w:bookmarkEnd w:id="13"/>
      <w:bookmarkEnd w:id="14"/>
      <w:bookmarkEnd w:id="15"/>
    </w:p>
    <w:p w14:paraId="70070B85" w14:textId="77777777" w:rsidR="00810A39" w:rsidRDefault="00810A39" w:rsidP="00810A39"/>
    <w:p w14:paraId="3573EBB0" w14:textId="77777777" w:rsidR="00810A39" w:rsidRDefault="00810A39" w:rsidP="00810A39"/>
    <w:p w14:paraId="217DD0A6" w14:textId="339EB3DE" w:rsidR="00810A39" w:rsidRPr="00810A39" w:rsidRDefault="00810A39" w:rsidP="00810A39">
      <w:pPr>
        <w:jc w:val="right"/>
        <w:rPr>
          <w:u w:val="single"/>
        </w:rPr>
      </w:pPr>
      <w:r w:rsidRPr="00810A39">
        <w:rPr>
          <w:u w:val="single"/>
        </w:rPr>
        <w:t>Date Approved</w:t>
      </w:r>
    </w:p>
    <w:p w14:paraId="615EE5F1" w14:textId="4831A549" w:rsidR="00810A39" w:rsidRPr="00810A39" w:rsidRDefault="00810A39" w:rsidP="00810A39">
      <w:pPr>
        <w:jc w:val="right"/>
        <w:sectPr w:rsidR="00810A39" w:rsidRPr="00810A39" w:rsidSect="00115965">
          <w:headerReference w:type="default" r:id="rId11"/>
          <w:footerReference w:type="default" r:id="rId12"/>
          <w:headerReference w:type="first" r:id="rId13"/>
          <w:pgSz w:w="11906" w:h="16838"/>
          <w:pgMar w:top="1440" w:right="1440" w:bottom="1440" w:left="1440" w:header="708" w:footer="708" w:gutter="0"/>
          <w:cols w:space="708"/>
          <w:titlePg/>
          <w:docGrid w:linePitch="360"/>
        </w:sectPr>
      </w:pPr>
      <w:r>
        <w:t>23 May 2022</w:t>
      </w:r>
    </w:p>
    <w:p w14:paraId="2759C692" w14:textId="77777777" w:rsidR="00A9626C" w:rsidRDefault="00824402" w:rsidP="00A9626C">
      <w:pPr>
        <w:pStyle w:val="Heading1"/>
      </w:pPr>
      <w:r w:rsidRPr="00824402">
        <w:lastRenderedPageBreak/>
        <w:t>Contents</w:t>
      </w:r>
    </w:p>
    <w:p w14:paraId="417CC99C" w14:textId="77777777" w:rsidR="00A9626C" w:rsidRDefault="00A9626C" w:rsidP="00A9626C">
      <w:pPr>
        <w:pStyle w:val="ListParagraph"/>
        <w:numPr>
          <w:ilvl w:val="0"/>
          <w:numId w:val="26"/>
        </w:numPr>
      </w:pPr>
      <w:r>
        <w:t xml:space="preserve">New Programme Development </w:t>
      </w:r>
      <w:r>
        <w:rPr>
          <w:i/>
        </w:rPr>
        <w:t>(in development)</w:t>
      </w:r>
      <w:r>
        <w:tab/>
      </w:r>
      <w:r>
        <w:tab/>
      </w:r>
      <w:r>
        <w:tab/>
      </w:r>
      <w:r>
        <w:tab/>
        <w:t>3</w:t>
      </w:r>
    </w:p>
    <w:p w14:paraId="77FB68DA" w14:textId="21BDDE0C" w:rsidR="00100EB9" w:rsidRPr="00824402" w:rsidRDefault="00A9626C" w:rsidP="00A9626C">
      <w:pPr>
        <w:pStyle w:val="ListParagraph"/>
        <w:numPr>
          <w:ilvl w:val="0"/>
          <w:numId w:val="26"/>
        </w:numPr>
      </w:pPr>
      <w:r>
        <w:t>Changes to Programmes and Modules</w:t>
      </w:r>
      <w:r>
        <w:tab/>
      </w:r>
      <w:r>
        <w:tab/>
      </w:r>
      <w:r>
        <w:tab/>
      </w:r>
      <w:r>
        <w:tab/>
      </w:r>
      <w:r>
        <w:tab/>
      </w:r>
      <w:r>
        <w:tab/>
        <w:t>4</w:t>
      </w:r>
      <w:r w:rsidR="00100EB9" w:rsidRPr="00824402">
        <w:br w:type="page"/>
      </w:r>
    </w:p>
    <w:p w14:paraId="351768E9" w14:textId="45923918" w:rsidR="00D24C21" w:rsidRDefault="00D24C21" w:rsidP="00A9626C">
      <w:pPr>
        <w:pStyle w:val="Heading1"/>
        <w:numPr>
          <w:ilvl w:val="0"/>
          <w:numId w:val="28"/>
        </w:numPr>
      </w:pPr>
      <w:bookmarkStart w:id="16" w:name="_Toc85620295"/>
      <w:bookmarkStart w:id="17" w:name="_Toc85620313"/>
      <w:bookmarkStart w:id="18" w:name="_Toc85620371"/>
      <w:r>
        <w:lastRenderedPageBreak/>
        <w:t>New Programme Approval</w:t>
      </w:r>
      <w:bookmarkEnd w:id="16"/>
      <w:bookmarkEnd w:id="17"/>
      <w:bookmarkEnd w:id="18"/>
    </w:p>
    <w:p w14:paraId="5E207A59" w14:textId="77777777" w:rsidR="00D24C21" w:rsidRPr="00824402" w:rsidRDefault="00D24C21" w:rsidP="00D24C21">
      <w:pPr>
        <w:rPr>
          <w:i/>
        </w:rPr>
      </w:pPr>
      <w:r w:rsidRPr="00824402">
        <w:rPr>
          <w:i/>
        </w:rPr>
        <w:t>In development</w:t>
      </w:r>
    </w:p>
    <w:p w14:paraId="1F02A205" w14:textId="77777777" w:rsidR="00D24C21" w:rsidRDefault="00D24C21">
      <w:r>
        <w:br w:type="page"/>
      </w:r>
    </w:p>
    <w:p w14:paraId="16A108F5" w14:textId="56E136A5" w:rsidR="00D24C21" w:rsidRDefault="00AF3FD2" w:rsidP="00A9626C">
      <w:pPr>
        <w:pStyle w:val="Heading1"/>
        <w:numPr>
          <w:ilvl w:val="0"/>
          <w:numId w:val="28"/>
        </w:numPr>
      </w:pPr>
      <w:bookmarkStart w:id="19" w:name="_Toc85620296"/>
      <w:bookmarkStart w:id="20" w:name="_Toc85620314"/>
      <w:bookmarkStart w:id="21" w:name="_Toc85620372"/>
      <w:r>
        <w:lastRenderedPageBreak/>
        <w:t>Changes to Programmes and Modules</w:t>
      </w:r>
      <w:bookmarkEnd w:id="19"/>
      <w:bookmarkEnd w:id="20"/>
      <w:bookmarkEnd w:id="21"/>
    </w:p>
    <w:p w14:paraId="3AE14CA3" w14:textId="77777777" w:rsidR="00AF3FD2" w:rsidRDefault="00AF3FD2" w:rsidP="00AF3FD2">
      <w:r>
        <w:t>Change to any part of a programme or module which is defined in either the programme or module specification.</w:t>
      </w:r>
    </w:p>
    <w:p w14:paraId="57E3E153" w14:textId="77777777" w:rsidR="00C60324" w:rsidRDefault="00AF3FD2" w:rsidP="00A9626C">
      <w:pPr>
        <w:pStyle w:val="Heading2"/>
        <w:numPr>
          <w:ilvl w:val="1"/>
          <w:numId w:val="28"/>
        </w:numPr>
      </w:pPr>
      <w:bookmarkStart w:id="22" w:name="_Toc85620297"/>
      <w:bookmarkStart w:id="23" w:name="_Toc85620315"/>
      <w:bookmarkStart w:id="24" w:name="_Toc85620373"/>
      <w:r>
        <w:t>Regulatory implications</w:t>
      </w:r>
      <w:bookmarkEnd w:id="22"/>
      <w:bookmarkEnd w:id="23"/>
      <w:bookmarkEnd w:id="24"/>
    </w:p>
    <w:p w14:paraId="6A596334" w14:textId="747F6F75" w:rsidR="00AF3FD2" w:rsidRDefault="00BE2333" w:rsidP="00C60324">
      <w:r>
        <w:t>Changes to programme and module information can impact on requirements set by professional, statutory or regulatory bodies. These include:</w:t>
      </w:r>
    </w:p>
    <w:p w14:paraId="0F60281A" w14:textId="32697125" w:rsidR="00BE2333" w:rsidRDefault="004D5464" w:rsidP="00BE2333">
      <w:pPr>
        <w:pStyle w:val="ListParagraph"/>
        <w:numPr>
          <w:ilvl w:val="0"/>
          <w:numId w:val="23"/>
        </w:numPr>
      </w:pPr>
      <w:r>
        <w:t xml:space="preserve">Compliance with the </w:t>
      </w:r>
      <w:hyperlink r:id="rId14" w:history="1">
        <w:r w:rsidR="00BE2333" w:rsidRPr="004D5464">
          <w:rPr>
            <w:rStyle w:val="Hyperlink"/>
          </w:rPr>
          <w:t>General Ongoing Conditions of Registration</w:t>
        </w:r>
      </w:hyperlink>
      <w:r w:rsidR="00BE2333" w:rsidRPr="004D5464">
        <w:t xml:space="preserve"> with the Office for Students</w:t>
      </w:r>
      <w:r>
        <w:t xml:space="preserve"> (</w:t>
      </w:r>
      <w:proofErr w:type="spellStart"/>
      <w:r>
        <w:t>OfS</w:t>
      </w:r>
      <w:proofErr w:type="spellEnd"/>
      <w:r>
        <w:t>)</w:t>
      </w:r>
    </w:p>
    <w:p w14:paraId="25F40A25" w14:textId="65A806EA" w:rsidR="00BE2333" w:rsidRDefault="004D5464" w:rsidP="00BE2333">
      <w:pPr>
        <w:pStyle w:val="ListParagraph"/>
        <w:numPr>
          <w:ilvl w:val="0"/>
          <w:numId w:val="23"/>
        </w:numPr>
      </w:pPr>
      <w:r>
        <w:t>Compliance with</w:t>
      </w:r>
      <w:r w:rsidR="00CB6E76" w:rsidRPr="00CB6E76">
        <w:t xml:space="preserve"> Consumer Protection from Unfair Trading Regulations (2008) and Consumer Contracts (Information, Cancellation and Additional Charges) Regulations (2013)</w:t>
      </w:r>
      <w:r>
        <w:t xml:space="preserve"> </w:t>
      </w:r>
      <w:r w:rsidR="00CB6E76">
        <w:t xml:space="preserve">in accordance with the </w:t>
      </w:r>
      <w:hyperlink r:id="rId15" w:history="1">
        <w:r w:rsidR="00BE2333" w:rsidRPr="004D5464">
          <w:rPr>
            <w:rStyle w:val="Hyperlink"/>
          </w:rPr>
          <w:t>UK Higher Education Providers – Advice on Consumer Protection Law</w:t>
        </w:r>
      </w:hyperlink>
      <w:r>
        <w:t xml:space="preserve"> published by the Competition and Markets Authority (CMA)</w:t>
      </w:r>
    </w:p>
    <w:p w14:paraId="061BA822" w14:textId="46766708" w:rsidR="004D5464" w:rsidRDefault="004D5464" w:rsidP="00BE2333">
      <w:pPr>
        <w:pStyle w:val="ListParagraph"/>
        <w:numPr>
          <w:ilvl w:val="0"/>
          <w:numId w:val="23"/>
        </w:numPr>
      </w:pPr>
      <w:r>
        <w:t xml:space="preserve">Alignment with the </w:t>
      </w:r>
      <w:hyperlink r:id="rId16" w:history="1">
        <w:r w:rsidRPr="004D5464">
          <w:rPr>
            <w:rStyle w:val="Hyperlink"/>
          </w:rPr>
          <w:t>UK Quality Code, Advice and Guidance: Course Design and Development</w:t>
        </w:r>
      </w:hyperlink>
      <w:r>
        <w:t xml:space="preserve"> published by the Quality Assurance Agency (QAA)</w:t>
      </w:r>
    </w:p>
    <w:p w14:paraId="2E3500D1" w14:textId="45719DAE" w:rsidR="004D5464" w:rsidRDefault="004D5464" w:rsidP="004D5464">
      <w:pPr>
        <w:pStyle w:val="ListParagraph"/>
        <w:numPr>
          <w:ilvl w:val="0"/>
          <w:numId w:val="23"/>
        </w:numPr>
      </w:pPr>
      <w:r>
        <w:t xml:space="preserve">Completion of the </w:t>
      </w:r>
      <w:hyperlink r:id="rId17" w:history="1">
        <w:r w:rsidRPr="004D5464">
          <w:rPr>
            <w:rStyle w:val="Hyperlink"/>
          </w:rPr>
          <w:t>Student Return</w:t>
        </w:r>
      </w:hyperlink>
      <w:r>
        <w:t xml:space="preserve">, </w:t>
      </w:r>
      <w:hyperlink r:id="rId18" w:history="1">
        <w:r w:rsidRPr="004D5464">
          <w:rPr>
            <w:rStyle w:val="Hyperlink"/>
          </w:rPr>
          <w:t>Aggregate Offshore Return</w:t>
        </w:r>
      </w:hyperlink>
      <w:r>
        <w:t xml:space="preserve"> and </w:t>
      </w:r>
      <w:hyperlink r:id="rId19" w:history="1">
        <w:proofErr w:type="spellStart"/>
        <w:r w:rsidRPr="004D5464">
          <w:rPr>
            <w:rStyle w:val="Hyperlink"/>
          </w:rPr>
          <w:t>Unistats</w:t>
        </w:r>
        <w:proofErr w:type="spellEnd"/>
        <w:r w:rsidRPr="004D5464">
          <w:rPr>
            <w:rStyle w:val="Hyperlink"/>
          </w:rPr>
          <w:t xml:space="preserve"> Return</w:t>
        </w:r>
      </w:hyperlink>
      <w:r>
        <w:t>, according to the specifications published by the Higher Education Statistical Agency (HESA)</w:t>
      </w:r>
    </w:p>
    <w:p w14:paraId="32BAFDB2" w14:textId="2D364645" w:rsidR="004D5464" w:rsidRDefault="004215C6" w:rsidP="004D5464">
      <w:pPr>
        <w:pStyle w:val="ListParagraph"/>
        <w:numPr>
          <w:ilvl w:val="0"/>
          <w:numId w:val="23"/>
        </w:numPr>
      </w:pPr>
      <w:r>
        <w:t>Alignment with programme-level accreditation requirements</w:t>
      </w:r>
    </w:p>
    <w:p w14:paraId="163292C5" w14:textId="0DF24C51" w:rsidR="004215C6" w:rsidRPr="00AF3FD2" w:rsidRDefault="004215C6" w:rsidP="004215C6">
      <w:r>
        <w:t>The process for making changes to programmes and modules, including oversight, approval and deadlines, are designed to ensure compliance with these requirements.</w:t>
      </w:r>
    </w:p>
    <w:p w14:paraId="023FAC11" w14:textId="36B2DF45" w:rsidR="00AF3FD2" w:rsidRDefault="00AF3FD2" w:rsidP="00A9626C">
      <w:pPr>
        <w:pStyle w:val="Heading2"/>
        <w:numPr>
          <w:ilvl w:val="1"/>
          <w:numId w:val="28"/>
        </w:numPr>
      </w:pPr>
      <w:bookmarkStart w:id="25" w:name="_Toc85620298"/>
      <w:bookmarkStart w:id="26" w:name="_Toc85620316"/>
      <w:bookmarkStart w:id="27" w:name="_Toc85620374"/>
      <w:r w:rsidRPr="00AF3FD2">
        <w:t xml:space="preserve">Types of </w:t>
      </w:r>
      <w:r>
        <w:t>Change</w:t>
      </w:r>
      <w:bookmarkEnd w:id="25"/>
      <w:bookmarkEnd w:id="26"/>
      <w:bookmarkEnd w:id="27"/>
    </w:p>
    <w:p w14:paraId="5FB8CA69" w14:textId="4CF6BEEC" w:rsidR="00D24C21" w:rsidRDefault="00AF3FD2" w:rsidP="00D24C21">
      <w:pPr>
        <w:rPr>
          <w:u w:val="single"/>
        </w:rPr>
      </w:pPr>
      <w:r w:rsidRPr="00AF3FD2">
        <w:rPr>
          <w:u w:val="single"/>
        </w:rPr>
        <w:t>Material Changes</w:t>
      </w:r>
    </w:p>
    <w:p w14:paraId="6AEC3D9F" w14:textId="69809A51" w:rsidR="00CB6E76" w:rsidRDefault="00CB6E76" w:rsidP="00D24C21">
      <w:r>
        <w:t xml:space="preserve">Material changes are changes which will have a significant impact on the nature of the </w:t>
      </w:r>
      <w:r w:rsidR="0044207E">
        <w:t xml:space="preserve">student </w:t>
      </w:r>
      <w:r>
        <w:t>learning experience</w:t>
      </w:r>
      <w:r w:rsidR="0044207E">
        <w:t>. Material changes are subject to consumer protection legislation.</w:t>
      </w:r>
    </w:p>
    <w:p w14:paraId="0EDCEF1E" w14:textId="42449F65" w:rsidR="00CB6E76" w:rsidRDefault="00CB6E76" w:rsidP="00D24C21">
      <w:r>
        <w:t>Where material changes affect registered students (including students who are suspended or interrupted), the university must consult with students, communicate the change</w:t>
      </w:r>
      <w:r w:rsidR="00DD5221">
        <w:t xml:space="preserve"> and obtain their consent.</w:t>
      </w:r>
    </w:p>
    <w:p w14:paraId="5FBB7F38" w14:textId="092F7DCB" w:rsidR="00CB6E76" w:rsidRDefault="00CB6E76" w:rsidP="00D24C21">
      <w:r>
        <w:t>Where material changes affect offer holders, the university must consult with offer holders, and communicate the changes.</w:t>
      </w:r>
    </w:p>
    <w:p w14:paraId="7DF981C6" w14:textId="43C8DFFF" w:rsidR="00AC5906" w:rsidRPr="004215C6" w:rsidRDefault="0044207E" w:rsidP="00D24C21">
      <w:r>
        <w:t>Changes to the following information is material:</w:t>
      </w:r>
    </w:p>
    <w:p w14:paraId="4F3A0DDD" w14:textId="0CE19BAD" w:rsidR="00AF3FD2" w:rsidRDefault="0044207E" w:rsidP="0082580A">
      <w:pPr>
        <w:pStyle w:val="ListParagraph"/>
        <w:numPr>
          <w:ilvl w:val="0"/>
          <w:numId w:val="12"/>
        </w:numPr>
      </w:pPr>
      <w:r>
        <w:t>P</w:t>
      </w:r>
      <w:r w:rsidR="00B862BE">
        <w:t xml:space="preserve">rogramme </w:t>
      </w:r>
      <w:r w:rsidR="00151EF9">
        <w:t>t</w:t>
      </w:r>
      <w:r w:rsidR="00B862BE">
        <w:t>itle</w:t>
      </w:r>
    </w:p>
    <w:p w14:paraId="2FA34BC7" w14:textId="5B87A0ED" w:rsidR="004617E7" w:rsidRDefault="0044207E" w:rsidP="0082580A">
      <w:pPr>
        <w:pStyle w:val="ListParagraph"/>
        <w:numPr>
          <w:ilvl w:val="0"/>
          <w:numId w:val="12"/>
        </w:numPr>
      </w:pPr>
      <w:r>
        <w:t>P</w:t>
      </w:r>
      <w:r w:rsidR="004617E7">
        <w:t xml:space="preserve">rofessional </w:t>
      </w:r>
      <w:r w:rsidR="00151EF9">
        <w:t>a</w:t>
      </w:r>
      <w:r w:rsidR="004617E7">
        <w:t>ccreditation</w:t>
      </w:r>
    </w:p>
    <w:p w14:paraId="5DEB628D" w14:textId="5C329922" w:rsidR="00B862BE" w:rsidRDefault="0044207E" w:rsidP="0082580A">
      <w:pPr>
        <w:pStyle w:val="ListParagraph"/>
        <w:numPr>
          <w:ilvl w:val="0"/>
          <w:numId w:val="12"/>
        </w:numPr>
      </w:pPr>
      <w:r>
        <w:t>P</w:t>
      </w:r>
      <w:r w:rsidR="00B862BE">
        <w:t xml:space="preserve">rogramme </w:t>
      </w:r>
      <w:r w:rsidR="00151EF9">
        <w:t>d</w:t>
      </w:r>
      <w:r w:rsidR="00B862BE">
        <w:t>escription</w:t>
      </w:r>
    </w:p>
    <w:p w14:paraId="54CC5C72" w14:textId="4AD0B824" w:rsidR="00B862BE" w:rsidRDefault="0044207E" w:rsidP="0082580A">
      <w:pPr>
        <w:pStyle w:val="ListParagraph"/>
        <w:numPr>
          <w:ilvl w:val="0"/>
          <w:numId w:val="12"/>
        </w:numPr>
      </w:pPr>
      <w:r>
        <w:lastRenderedPageBreak/>
        <w:t>Programme l</w:t>
      </w:r>
      <w:r w:rsidR="00B862BE">
        <w:t xml:space="preserve">earning </w:t>
      </w:r>
      <w:r w:rsidR="00151EF9">
        <w:t>o</w:t>
      </w:r>
      <w:r w:rsidR="00B862BE">
        <w:t>utcomes</w:t>
      </w:r>
      <w:r w:rsidR="00F2341F">
        <w:t xml:space="preserve"> </w:t>
      </w:r>
    </w:p>
    <w:p w14:paraId="691BF44F" w14:textId="24647A14" w:rsidR="00B862BE" w:rsidRDefault="0044207E" w:rsidP="0082580A">
      <w:pPr>
        <w:pStyle w:val="ListParagraph"/>
        <w:numPr>
          <w:ilvl w:val="0"/>
          <w:numId w:val="12"/>
        </w:numPr>
      </w:pPr>
      <w:r>
        <w:t xml:space="preserve">Programme </w:t>
      </w:r>
      <w:r w:rsidR="00151EF9">
        <w:t>l</w:t>
      </w:r>
      <w:r w:rsidR="004617E7">
        <w:t xml:space="preserve">earning and </w:t>
      </w:r>
      <w:r w:rsidR="00151EF9">
        <w:t>t</w:t>
      </w:r>
      <w:r w:rsidR="004617E7">
        <w:t xml:space="preserve">eaching </w:t>
      </w:r>
      <w:r w:rsidR="00151EF9">
        <w:t>s</w:t>
      </w:r>
      <w:r w:rsidR="004617E7">
        <w:t>trategy</w:t>
      </w:r>
    </w:p>
    <w:p w14:paraId="06BE4342" w14:textId="17707FFC" w:rsidR="004617E7" w:rsidRDefault="0044207E" w:rsidP="0082580A">
      <w:pPr>
        <w:pStyle w:val="ListParagraph"/>
        <w:numPr>
          <w:ilvl w:val="0"/>
          <w:numId w:val="12"/>
        </w:numPr>
      </w:pPr>
      <w:r>
        <w:t xml:space="preserve">Programme </w:t>
      </w:r>
      <w:r w:rsidR="00151EF9">
        <w:t>a</w:t>
      </w:r>
      <w:r w:rsidR="004617E7">
        <w:t xml:space="preserve">ssessment </w:t>
      </w:r>
      <w:r w:rsidR="00151EF9">
        <w:t>s</w:t>
      </w:r>
      <w:r w:rsidR="004617E7">
        <w:t>trategy</w:t>
      </w:r>
    </w:p>
    <w:p w14:paraId="71E95E70" w14:textId="25C33D82" w:rsidR="00F62376" w:rsidRDefault="0044207E" w:rsidP="0082580A">
      <w:pPr>
        <w:pStyle w:val="ListParagraph"/>
        <w:numPr>
          <w:ilvl w:val="0"/>
          <w:numId w:val="12"/>
        </w:numPr>
      </w:pPr>
      <w:r>
        <w:t>E</w:t>
      </w:r>
      <w:r w:rsidR="00F62376">
        <w:t xml:space="preserve">ntry </w:t>
      </w:r>
      <w:r w:rsidR="00151EF9">
        <w:t>r</w:t>
      </w:r>
      <w:r w:rsidR="00F62376">
        <w:t>equirements</w:t>
      </w:r>
    </w:p>
    <w:p w14:paraId="2D62022C" w14:textId="27471434" w:rsidR="004617E7" w:rsidRDefault="0044207E" w:rsidP="0082580A">
      <w:pPr>
        <w:pStyle w:val="ListParagraph"/>
        <w:numPr>
          <w:ilvl w:val="0"/>
          <w:numId w:val="12"/>
        </w:numPr>
      </w:pPr>
      <w:r>
        <w:t>Module delivery location</w:t>
      </w:r>
    </w:p>
    <w:p w14:paraId="4516A3EA" w14:textId="421950FE" w:rsidR="004617E7" w:rsidRDefault="0044207E" w:rsidP="004617E7">
      <w:pPr>
        <w:pStyle w:val="ListParagraph"/>
        <w:numPr>
          <w:ilvl w:val="0"/>
          <w:numId w:val="12"/>
        </w:numPr>
      </w:pPr>
      <w:r>
        <w:t>Module Location</w:t>
      </w:r>
    </w:p>
    <w:p w14:paraId="126E54D1" w14:textId="5902D402" w:rsidR="0044207E" w:rsidRDefault="00181258" w:rsidP="0044207E">
      <w:r>
        <w:t>T</w:t>
      </w:r>
      <w:r w:rsidR="0044207E">
        <w:t>he following changes to the relationship between modules and programme are material:</w:t>
      </w:r>
    </w:p>
    <w:p w14:paraId="52A0140E" w14:textId="07FDF5FA" w:rsidR="0044207E" w:rsidRDefault="0044207E" w:rsidP="0044207E">
      <w:pPr>
        <w:pStyle w:val="ListParagraph"/>
        <w:numPr>
          <w:ilvl w:val="0"/>
          <w:numId w:val="12"/>
        </w:numPr>
      </w:pPr>
      <w:r>
        <w:t>Changing a module from core to elective (or vice versa)</w:t>
      </w:r>
    </w:p>
    <w:p w14:paraId="622E3D24" w14:textId="77777777" w:rsidR="0044207E" w:rsidRDefault="0044207E" w:rsidP="0044207E">
      <w:pPr>
        <w:pStyle w:val="ListParagraph"/>
        <w:numPr>
          <w:ilvl w:val="0"/>
          <w:numId w:val="12"/>
        </w:numPr>
      </w:pPr>
      <w:r>
        <w:t>Removing a module from a programme</w:t>
      </w:r>
    </w:p>
    <w:p w14:paraId="5B850C7D" w14:textId="66D787DB" w:rsidR="0044207E" w:rsidRDefault="0044207E" w:rsidP="0044207E">
      <w:pPr>
        <w:pStyle w:val="ListParagraph"/>
        <w:numPr>
          <w:ilvl w:val="0"/>
          <w:numId w:val="12"/>
        </w:numPr>
      </w:pPr>
      <w:r>
        <w:t>Introducing a new core module to a programme</w:t>
      </w:r>
    </w:p>
    <w:p w14:paraId="7583C741" w14:textId="35D3E8AF" w:rsidR="0044207E" w:rsidRDefault="0044207E" w:rsidP="0044207E">
      <w:pPr>
        <w:pStyle w:val="ListParagraph"/>
        <w:numPr>
          <w:ilvl w:val="0"/>
          <w:numId w:val="12"/>
        </w:numPr>
      </w:pPr>
      <w:r>
        <w:t>Introducing a new elective module to a programme</w:t>
      </w:r>
    </w:p>
    <w:p w14:paraId="22EC890A" w14:textId="1FF6D03B" w:rsidR="0044207E" w:rsidRDefault="0044207E" w:rsidP="0044207E">
      <w:pPr>
        <w:pStyle w:val="ListParagraph"/>
        <w:numPr>
          <w:ilvl w:val="0"/>
          <w:numId w:val="12"/>
        </w:numPr>
      </w:pPr>
      <w:r>
        <w:t>Withdrawing a module</w:t>
      </w:r>
    </w:p>
    <w:p w14:paraId="5A9F2EB0" w14:textId="2BA1B9D4" w:rsidR="00181258" w:rsidRPr="00181258" w:rsidRDefault="00181258" w:rsidP="00181258">
      <w:pPr>
        <w:rPr>
          <w:highlight w:val="cyan"/>
        </w:rPr>
      </w:pPr>
      <w:r w:rsidRPr="00181258">
        <w:rPr>
          <w:highlight w:val="cyan"/>
        </w:rPr>
        <w:t>The following changes to modules are material:</w:t>
      </w:r>
    </w:p>
    <w:p w14:paraId="5C9D4396" w14:textId="77777777" w:rsidR="00181258" w:rsidRPr="00181258" w:rsidRDefault="00181258" w:rsidP="00181258">
      <w:pPr>
        <w:pStyle w:val="ListParagraph"/>
        <w:numPr>
          <w:ilvl w:val="0"/>
          <w:numId w:val="15"/>
        </w:numPr>
        <w:rPr>
          <w:highlight w:val="cyan"/>
        </w:rPr>
      </w:pPr>
      <w:r w:rsidRPr="00181258">
        <w:rPr>
          <w:highlight w:val="cyan"/>
        </w:rPr>
        <w:t>Module title</w:t>
      </w:r>
    </w:p>
    <w:p w14:paraId="1836ADF5" w14:textId="77777777" w:rsidR="00181258" w:rsidRPr="00181258" w:rsidRDefault="00181258" w:rsidP="00181258">
      <w:pPr>
        <w:pStyle w:val="ListParagraph"/>
        <w:numPr>
          <w:ilvl w:val="0"/>
          <w:numId w:val="15"/>
        </w:numPr>
        <w:rPr>
          <w:highlight w:val="cyan"/>
        </w:rPr>
      </w:pPr>
      <w:r w:rsidRPr="00181258">
        <w:rPr>
          <w:highlight w:val="cyan"/>
        </w:rPr>
        <w:t xml:space="preserve">Module semester </w:t>
      </w:r>
    </w:p>
    <w:p w14:paraId="29311FB4" w14:textId="4E627E4B" w:rsidR="0044207E" w:rsidRPr="0082580A" w:rsidRDefault="0044207E" w:rsidP="0044207E">
      <w:r>
        <w:t>In addition, the Director of Academic Services has discretion to require any proposal to make non-material, or operational changes, to be approved as a material change. This discretion will be used where the Director of Academic Services determines that a proposal may meet the threshold for material change under consumer protection regulations.</w:t>
      </w:r>
    </w:p>
    <w:p w14:paraId="46F8F807" w14:textId="4E87B58E" w:rsidR="00151EF9" w:rsidRDefault="00AF3FD2" w:rsidP="00151EF9">
      <w:pPr>
        <w:rPr>
          <w:u w:val="single"/>
        </w:rPr>
      </w:pPr>
      <w:r w:rsidRPr="00AF3FD2">
        <w:rPr>
          <w:u w:val="single"/>
        </w:rPr>
        <w:t>Non-material changes</w:t>
      </w:r>
    </w:p>
    <w:p w14:paraId="474CE366" w14:textId="4CA8CBBE" w:rsidR="00604963" w:rsidRDefault="00604963" w:rsidP="00604963">
      <w:r>
        <w:t>Non-material changes are changes which affect the quality of the programme but that will have a limited impact on the overall student learning experience. Non-material changes are not generally subject to consumer protection regulations, however proposals to make multiple changes may meet the threshold for material change.</w:t>
      </w:r>
    </w:p>
    <w:p w14:paraId="5834ACCE" w14:textId="54751E82" w:rsidR="00604963" w:rsidRDefault="00604963" w:rsidP="00604963">
      <w:r>
        <w:t>Where non-material changes affect registered students (including students who are suspended or interrupted), the university must consult with students and communicate the change.</w:t>
      </w:r>
    </w:p>
    <w:p w14:paraId="77D63E30" w14:textId="2C2045EF" w:rsidR="00604963" w:rsidRDefault="00604963" w:rsidP="00604963">
      <w:r>
        <w:t>Where material changes affect offer holders, the university must communicate the changes.</w:t>
      </w:r>
    </w:p>
    <w:p w14:paraId="62281AD2" w14:textId="5579F09D" w:rsidR="00604963" w:rsidRPr="004215C6" w:rsidRDefault="00604963" w:rsidP="00604963">
      <w:r>
        <w:t>Changes to the following information is non-material:</w:t>
      </w:r>
    </w:p>
    <w:p w14:paraId="48BA7F1B" w14:textId="301DB904" w:rsidR="00F62376" w:rsidRDefault="004617E7" w:rsidP="00F62376">
      <w:pPr>
        <w:pStyle w:val="ListParagraph"/>
        <w:numPr>
          <w:ilvl w:val="0"/>
          <w:numId w:val="15"/>
        </w:numPr>
      </w:pPr>
      <w:r>
        <w:t xml:space="preserve">Module </w:t>
      </w:r>
      <w:r w:rsidR="00151EF9">
        <w:t>d</w:t>
      </w:r>
      <w:r>
        <w:t>escription</w:t>
      </w:r>
    </w:p>
    <w:p w14:paraId="1FF44CEC" w14:textId="6C3E5875" w:rsidR="004617E7" w:rsidRDefault="004617E7" w:rsidP="004617E7">
      <w:pPr>
        <w:pStyle w:val="ListParagraph"/>
        <w:numPr>
          <w:ilvl w:val="0"/>
          <w:numId w:val="15"/>
        </w:numPr>
      </w:pPr>
      <w:r>
        <w:t xml:space="preserve">Module </w:t>
      </w:r>
      <w:r w:rsidR="00151EF9">
        <w:t>l</w:t>
      </w:r>
      <w:r>
        <w:t xml:space="preserve">earning and </w:t>
      </w:r>
      <w:r w:rsidR="00151EF9">
        <w:t>t</w:t>
      </w:r>
      <w:r>
        <w:t xml:space="preserve">eaching </w:t>
      </w:r>
      <w:r w:rsidR="00151EF9">
        <w:t>s</w:t>
      </w:r>
      <w:r>
        <w:t>trategy</w:t>
      </w:r>
    </w:p>
    <w:p w14:paraId="1D033F42" w14:textId="5EEEA4F0" w:rsidR="004617E7" w:rsidRDefault="004617E7" w:rsidP="004617E7">
      <w:pPr>
        <w:pStyle w:val="ListParagraph"/>
        <w:numPr>
          <w:ilvl w:val="0"/>
          <w:numId w:val="15"/>
        </w:numPr>
      </w:pPr>
      <w:r>
        <w:t xml:space="preserve">Module </w:t>
      </w:r>
      <w:r w:rsidR="00151EF9">
        <w:t>s</w:t>
      </w:r>
      <w:r>
        <w:t xml:space="preserve">tudy </w:t>
      </w:r>
      <w:r w:rsidR="00151EF9">
        <w:t>h</w:t>
      </w:r>
      <w:r>
        <w:t>ours (including the proportion of hours by type)</w:t>
      </w:r>
    </w:p>
    <w:p w14:paraId="725D3F49" w14:textId="03E93270" w:rsidR="004617E7" w:rsidRDefault="004617E7" w:rsidP="004617E7">
      <w:pPr>
        <w:pStyle w:val="ListParagraph"/>
        <w:numPr>
          <w:ilvl w:val="0"/>
          <w:numId w:val="15"/>
        </w:numPr>
      </w:pPr>
      <w:r>
        <w:t xml:space="preserve">Module </w:t>
      </w:r>
      <w:r w:rsidR="00151EF9">
        <w:t>a</w:t>
      </w:r>
      <w:r>
        <w:t xml:space="preserve">ssessment </w:t>
      </w:r>
      <w:r w:rsidR="00151EF9">
        <w:t>s</w:t>
      </w:r>
      <w:r>
        <w:t>trategy</w:t>
      </w:r>
    </w:p>
    <w:p w14:paraId="6C85026F" w14:textId="39F4E6C1" w:rsidR="005A624D" w:rsidRDefault="005A624D" w:rsidP="004617E7">
      <w:pPr>
        <w:pStyle w:val="ListParagraph"/>
        <w:numPr>
          <w:ilvl w:val="0"/>
          <w:numId w:val="15"/>
        </w:numPr>
      </w:pPr>
      <w:r>
        <w:t xml:space="preserve">Summative </w:t>
      </w:r>
      <w:r w:rsidR="00151EF9">
        <w:t>a</w:t>
      </w:r>
      <w:r>
        <w:t xml:space="preserve">ssessment </w:t>
      </w:r>
      <w:r w:rsidR="00151EF9">
        <w:t>c</w:t>
      </w:r>
      <w:r>
        <w:t>omponents</w:t>
      </w:r>
    </w:p>
    <w:p w14:paraId="5EF3E761" w14:textId="24945651" w:rsidR="005A624D" w:rsidRDefault="005A624D" w:rsidP="004617E7">
      <w:pPr>
        <w:pStyle w:val="ListParagraph"/>
        <w:numPr>
          <w:ilvl w:val="0"/>
          <w:numId w:val="15"/>
        </w:numPr>
      </w:pPr>
      <w:r>
        <w:t xml:space="preserve">Formative </w:t>
      </w:r>
      <w:r w:rsidR="00151EF9">
        <w:t>a</w:t>
      </w:r>
      <w:r>
        <w:t xml:space="preserve">ssessment </w:t>
      </w:r>
      <w:r w:rsidR="00151EF9">
        <w:t>c</w:t>
      </w:r>
      <w:r>
        <w:t>omponents</w:t>
      </w:r>
    </w:p>
    <w:p w14:paraId="71140F38" w14:textId="1E6BDD5C" w:rsidR="00151EF9" w:rsidRDefault="00151EF9" w:rsidP="00151EF9">
      <w:pPr>
        <w:pStyle w:val="ListParagraph"/>
        <w:numPr>
          <w:ilvl w:val="0"/>
          <w:numId w:val="15"/>
        </w:numPr>
      </w:pPr>
      <w:r>
        <w:lastRenderedPageBreak/>
        <w:t>Associated modules</w:t>
      </w:r>
    </w:p>
    <w:p w14:paraId="623C6B2A" w14:textId="3C3AB714" w:rsidR="00AF3FD2" w:rsidRDefault="00AF3FD2" w:rsidP="00D24C21">
      <w:pPr>
        <w:rPr>
          <w:u w:val="single"/>
        </w:rPr>
      </w:pPr>
      <w:r w:rsidRPr="00AF3FD2">
        <w:rPr>
          <w:u w:val="single"/>
        </w:rPr>
        <w:t>Operational changes</w:t>
      </w:r>
    </w:p>
    <w:p w14:paraId="230C784B" w14:textId="1C8904A1" w:rsidR="00604963" w:rsidRDefault="00604963" w:rsidP="00604963">
      <w:r>
        <w:t>Operational changes are changes which will have a limited impact on the overall student learning experience. Operational changes are not generally subject to consumer protection regulations, however proposals to make multiple changes may meet the threshold for material change.</w:t>
      </w:r>
    </w:p>
    <w:p w14:paraId="306F923D" w14:textId="3F545F23" w:rsidR="00604963" w:rsidRDefault="00604963" w:rsidP="00604963">
      <w:r>
        <w:t>Where operational changes affect registered students (including students who are suspended or interrupted), the university must communicate the change.</w:t>
      </w:r>
    </w:p>
    <w:p w14:paraId="094D033F" w14:textId="318F6A13" w:rsidR="00604963" w:rsidRPr="004215C6" w:rsidRDefault="00604963" w:rsidP="00604963">
      <w:r>
        <w:t>Changes to the following information is operational:</w:t>
      </w:r>
    </w:p>
    <w:p w14:paraId="4C01D3AF" w14:textId="4C770A0D" w:rsidR="004617E7" w:rsidRDefault="004617E7" w:rsidP="004617E7">
      <w:pPr>
        <w:pStyle w:val="ListParagraph"/>
        <w:numPr>
          <w:ilvl w:val="0"/>
          <w:numId w:val="16"/>
        </w:numPr>
      </w:pPr>
      <w:r>
        <w:t xml:space="preserve">Programme </w:t>
      </w:r>
      <w:r w:rsidR="00151EF9">
        <w:t>s</w:t>
      </w:r>
      <w:r>
        <w:t>chool</w:t>
      </w:r>
    </w:p>
    <w:p w14:paraId="08C208AA" w14:textId="11519437" w:rsidR="00151EF9" w:rsidRDefault="00151EF9" w:rsidP="004617E7">
      <w:pPr>
        <w:pStyle w:val="ListParagraph"/>
        <w:numPr>
          <w:ilvl w:val="0"/>
          <w:numId w:val="16"/>
        </w:numPr>
      </w:pPr>
      <w:r>
        <w:t>Programme manager</w:t>
      </w:r>
    </w:p>
    <w:p w14:paraId="42E808EE" w14:textId="6DD801D5" w:rsidR="00AF3FD2" w:rsidRDefault="004617E7" w:rsidP="004617E7">
      <w:pPr>
        <w:pStyle w:val="ListParagraph"/>
        <w:numPr>
          <w:ilvl w:val="0"/>
          <w:numId w:val="16"/>
        </w:numPr>
      </w:pPr>
      <w:r>
        <w:t>Module</w:t>
      </w:r>
      <w:r w:rsidR="00151EF9">
        <w:t xml:space="preserve"> s</w:t>
      </w:r>
      <w:r>
        <w:t>chool</w:t>
      </w:r>
    </w:p>
    <w:p w14:paraId="1E94ACD2" w14:textId="17458093" w:rsidR="004617E7" w:rsidRDefault="004617E7" w:rsidP="004617E7">
      <w:pPr>
        <w:pStyle w:val="ListParagraph"/>
        <w:numPr>
          <w:ilvl w:val="0"/>
          <w:numId w:val="16"/>
        </w:numPr>
      </w:pPr>
      <w:r>
        <w:t xml:space="preserve">Module </w:t>
      </w:r>
      <w:r w:rsidR="00151EF9">
        <w:t>l</w:t>
      </w:r>
      <w:r>
        <w:t>eader</w:t>
      </w:r>
    </w:p>
    <w:p w14:paraId="2CA8FBBD" w14:textId="38189856" w:rsidR="004617E7" w:rsidRDefault="00F62376" w:rsidP="004617E7">
      <w:pPr>
        <w:pStyle w:val="ListParagraph"/>
        <w:numPr>
          <w:ilvl w:val="0"/>
          <w:numId w:val="16"/>
        </w:numPr>
      </w:pPr>
      <w:r>
        <w:t xml:space="preserve">Assessment submission </w:t>
      </w:r>
      <w:r w:rsidR="00604963">
        <w:t>deadline</w:t>
      </w:r>
    </w:p>
    <w:p w14:paraId="07C2FA7C" w14:textId="612BF6FD" w:rsidR="005A624D" w:rsidRDefault="005A624D" w:rsidP="004617E7">
      <w:pPr>
        <w:pStyle w:val="ListParagraph"/>
        <w:numPr>
          <w:ilvl w:val="0"/>
          <w:numId w:val="16"/>
        </w:numPr>
      </w:pPr>
      <w:r>
        <w:t xml:space="preserve">Module </w:t>
      </w:r>
      <w:r w:rsidR="00151EF9">
        <w:t>r</w:t>
      </w:r>
      <w:r>
        <w:t xml:space="preserve">eading </w:t>
      </w:r>
      <w:r w:rsidR="00151EF9">
        <w:t>l</w:t>
      </w:r>
      <w:r>
        <w:t>ist</w:t>
      </w:r>
    </w:p>
    <w:p w14:paraId="3669A33C" w14:textId="561FE9B0" w:rsidR="00B862BE" w:rsidRDefault="00B862BE" w:rsidP="00A9626C">
      <w:pPr>
        <w:pStyle w:val="Heading2"/>
        <w:numPr>
          <w:ilvl w:val="1"/>
          <w:numId w:val="28"/>
        </w:numPr>
      </w:pPr>
      <w:bookmarkStart w:id="28" w:name="_Toc85620299"/>
      <w:bookmarkStart w:id="29" w:name="_Toc85620317"/>
      <w:bookmarkStart w:id="30" w:name="_Toc85620375"/>
      <w:r>
        <w:t>Approval Process</w:t>
      </w:r>
      <w:r w:rsidR="000A07A9">
        <w:t xml:space="preserve"> and Deadlines</w:t>
      </w:r>
      <w:bookmarkEnd w:id="28"/>
      <w:bookmarkEnd w:id="29"/>
      <w:bookmarkEnd w:id="30"/>
    </w:p>
    <w:p w14:paraId="3E5289DF" w14:textId="624935EB" w:rsidR="000A07A9" w:rsidRDefault="000A07A9" w:rsidP="000A07A9">
      <w:r>
        <w:t>Proposals to make changes will be approved as follows:</w:t>
      </w:r>
    </w:p>
    <w:tbl>
      <w:tblPr>
        <w:tblStyle w:val="TableGrid"/>
        <w:tblW w:w="9016" w:type="dxa"/>
        <w:tblLook w:val="04A0" w:firstRow="1" w:lastRow="0" w:firstColumn="1" w:lastColumn="0" w:noHBand="0" w:noVBand="1"/>
      </w:tblPr>
      <w:tblGrid>
        <w:gridCol w:w="1706"/>
        <w:gridCol w:w="2900"/>
        <w:gridCol w:w="2557"/>
        <w:gridCol w:w="1853"/>
      </w:tblGrid>
      <w:tr w:rsidR="00181258" w14:paraId="50E73347" w14:textId="7197BFFA" w:rsidTr="00181258">
        <w:tc>
          <w:tcPr>
            <w:tcW w:w="1706" w:type="dxa"/>
            <w:shd w:val="clear" w:color="auto" w:fill="D9D9D9" w:themeFill="background1" w:themeFillShade="D9"/>
          </w:tcPr>
          <w:p w14:paraId="146574E0" w14:textId="6542C86F" w:rsidR="00181258" w:rsidRDefault="00181258" w:rsidP="00D40190">
            <w:r>
              <w:t>Type of Change</w:t>
            </w:r>
          </w:p>
        </w:tc>
        <w:tc>
          <w:tcPr>
            <w:tcW w:w="2900" w:type="dxa"/>
            <w:shd w:val="clear" w:color="auto" w:fill="D9D9D9" w:themeFill="background1" w:themeFillShade="D9"/>
          </w:tcPr>
          <w:p w14:paraId="2D3ACDA4" w14:textId="6AB8FB0D" w:rsidR="00181258" w:rsidRDefault="00181258" w:rsidP="00D40190">
            <w:r>
              <w:t>Paperwork required</w:t>
            </w:r>
          </w:p>
        </w:tc>
        <w:tc>
          <w:tcPr>
            <w:tcW w:w="2557" w:type="dxa"/>
            <w:shd w:val="clear" w:color="auto" w:fill="D9D9D9" w:themeFill="background1" w:themeFillShade="D9"/>
          </w:tcPr>
          <w:p w14:paraId="21C3624E" w14:textId="457BAE9F" w:rsidR="00181258" w:rsidRDefault="00181258" w:rsidP="00D40190">
            <w:r>
              <w:t>Approval by</w:t>
            </w:r>
          </w:p>
        </w:tc>
        <w:tc>
          <w:tcPr>
            <w:tcW w:w="1853" w:type="dxa"/>
            <w:shd w:val="clear" w:color="auto" w:fill="D9D9D9" w:themeFill="background1" w:themeFillShade="D9"/>
          </w:tcPr>
          <w:p w14:paraId="65ACC8DD" w14:textId="5F1A0148" w:rsidR="00181258" w:rsidRDefault="00181258" w:rsidP="00D40190">
            <w:r>
              <w:t>Submission deadline</w:t>
            </w:r>
          </w:p>
        </w:tc>
      </w:tr>
      <w:tr w:rsidR="00181258" w14:paraId="279D08DC" w14:textId="411D4311" w:rsidTr="00181258">
        <w:tc>
          <w:tcPr>
            <w:tcW w:w="1706" w:type="dxa"/>
            <w:vAlign w:val="center"/>
          </w:tcPr>
          <w:p w14:paraId="50A7132B" w14:textId="115647C4" w:rsidR="00181258" w:rsidRDefault="00181258" w:rsidP="00D40190">
            <w:r>
              <w:t>Material Changes</w:t>
            </w:r>
          </w:p>
        </w:tc>
        <w:tc>
          <w:tcPr>
            <w:tcW w:w="2900" w:type="dxa"/>
            <w:shd w:val="clear" w:color="auto" w:fill="auto"/>
            <w:vAlign w:val="center"/>
          </w:tcPr>
          <w:p w14:paraId="5BE06E0C" w14:textId="77777777" w:rsidR="00181258" w:rsidRDefault="00181258" w:rsidP="00D40190">
            <w:r>
              <w:t>Programme/Module Specification(s) with tracked changes</w:t>
            </w:r>
          </w:p>
          <w:p w14:paraId="42066B17" w14:textId="4BEA9A53" w:rsidR="00181258" w:rsidRDefault="00181258" w:rsidP="00D40190">
            <w:r w:rsidRPr="000A07A9">
              <w:rPr>
                <w:b/>
              </w:rPr>
              <w:t>AND</w:t>
            </w:r>
            <w:r>
              <w:rPr>
                <w:b/>
              </w:rPr>
              <w:t xml:space="preserve"> </w:t>
            </w:r>
            <w:r>
              <w:t>A Programme and Module Change Form</w:t>
            </w:r>
          </w:p>
        </w:tc>
        <w:tc>
          <w:tcPr>
            <w:tcW w:w="2557" w:type="dxa"/>
            <w:shd w:val="clear" w:color="auto" w:fill="auto"/>
            <w:vAlign w:val="center"/>
          </w:tcPr>
          <w:p w14:paraId="39FBAE40" w14:textId="34E6E6F9" w:rsidR="00181258" w:rsidRDefault="00181258" w:rsidP="00D40190">
            <w:r>
              <w:t>Academic Quality and Standards Committee (AQSC)</w:t>
            </w:r>
          </w:p>
        </w:tc>
        <w:tc>
          <w:tcPr>
            <w:tcW w:w="1853" w:type="dxa"/>
            <w:vAlign w:val="center"/>
          </w:tcPr>
          <w:p w14:paraId="1AA2B094" w14:textId="0A64E7B8" w:rsidR="00181258" w:rsidRPr="00181258" w:rsidRDefault="00181258" w:rsidP="00181258">
            <w:pPr>
              <w:rPr>
                <w:highlight w:val="cyan"/>
              </w:rPr>
            </w:pPr>
            <w:r w:rsidRPr="00181258">
              <w:rPr>
                <w:highlight w:val="cyan"/>
              </w:rPr>
              <w:t>01 February 2023</w:t>
            </w:r>
          </w:p>
        </w:tc>
      </w:tr>
      <w:tr w:rsidR="00181258" w14:paraId="54FCEAD4" w14:textId="55D60B18" w:rsidTr="00181258">
        <w:tc>
          <w:tcPr>
            <w:tcW w:w="1706" w:type="dxa"/>
            <w:vAlign w:val="center"/>
          </w:tcPr>
          <w:p w14:paraId="4E69AA1A" w14:textId="2827EA06" w:rsidR="00181258" w:rsidRDefault="00181258" w:rsidP="00D40190">
            <w:r>
              <w:t>Non-material Changes</w:t>
            </w:r>
          </w:p>
        </w:tc>
        <w:tc>
          <w:tcPr>
            <w:tcW w:w="2900" w:type="dxa"/>
            <w:shd w:val="clear" w:color="auto" w:fill="auto"/>
            <w:vAlign w:val="center"/>
          </w:tcPr>
          <w:p w14:paraId="022F4570" w14:textId="77777777" w:rsidR="00181258" w:rsidRDefault="00181258" w:rsidP="00D40190">
            <w:r>
              <w:t>Programme/Module Specification(s) with tracked changes</w:t>
            </w:r>
          </w:p>
          <w:p w14:paraId="46158B23" w14:textId="6A8780A6" w:rsidR="00181258" w:rsidRDefault="00181258" w:rsidP="00D40190">
            <w:r w:rsidRPr="000A07A9">
              <w:rPr>
                <w:b/>
              </w:rPr>
              <w:t>AND</w:t>
            </w:r>
            <w:r>
              <w:rPr>
                <w:b/>
              </w:rPr>
              <w:t xml:space="preserve"> </w:t>
            </w:r>
            <w:r>
              <w:t>A Programme and Module Change Form</w:t>
            </w:r>
          </w:p>
        </w:tc>
        <w:tc>
          <w:tcPr>
            <w:tcW w:w="2557" w:type="dxa"/>
            <w:shd w:val="clear" w:color="auto" w:fill="auto"/>
            <w:vAlign w:val="center"/>
          </w:tcPr>
          <w:p w14:paraId="58E72EEC" w14:textId="77777777" w:rsidR="00181258" w:rsidRDefault="00181258" w:rsidP="00D40190">
            <w:r>
              <w:t>Assistant Registrar (Quality, Assessment and Partnerships)</w:t>
            </w:r>
          </w:p>
          <w:p w14:paraId="1F687152" w14:textId="53789CD5" w:rsidR="00181258" w:rsidRDefault="00181258" w:rsidP="007B4DFD">
            <w:r w:rsidRPr="007B4DFD">
              <w:rPr>
                <w:b/>
              </w:rPr>
              <w:t>AND</w:t>
            </w:r>
            <w:r>
              <w:rPr>
                <w:b/>
              </w:rPr>
              <w:t xml:space="preserve"> </w:t>
            </w:r>
            <w:r>
              <w:t>Director of Academic Services</w:t>
            </w:r>
          </w:p>
        </w:tc>
        <w:tc>
          <w:tcPr>
            <w:tcW w:w="1853" w:type="dxa"/>
            <w:vMerge w:val="restart"/>
            <w:vAlign w:val="center"/>
          </w:tcPr>
          <w:p w14:paraId="371C862A" w14:textId="77777777" w:rsidR="00181258" w:rsidRPr="00181258" w:rsidRDefault="00181258" w:rsidP="00181258">
            <w:pPr>
              <w:rPr>
                <w:b/>
                <w:highlight w:val="cyan"/>
              </w:rPr>
            </w:pPr>
            <w:r w:rsidRPr="00181258">
              <w:rPr>
                <w:b/>
                <w:highlight w:val="cyan"/>
              </w:rPr>
              <w:t>Semester 1</w:t>
            </w:r>
          </w:p>
          <w:p w14:paraId="02612DBE" w14:textId="1100B1FD" w:rsidR="00181258" w:rsidRPr="00181258" w:rsidRDefault="00181258" w:rsidP="00181258">
            <w:pPr>
              <w:rPr>
                <w:highlight w:val="cyan"/>
              </w:rPr>
            </w:pPr>
            <w:r w:rsidRPr="00181258">
              <w:rPr>
                <w:highlight w:val="cyan"/>
              </w:rPr>
              <w:t>05 May 2023</w:t>
            </w:r>
          </w:p>
          <w:p w14:paraId="45395024" w14:textId="77777777" w:rsidR="00181258" w:rsidRPr="00181258" w:rsidRDefault="00181258" w:rsidP="00181258">
            <w:pPr>
              <w:rPr>
                <w:highlight w:val="cyan"/>
              </w:rPr>
            </w:pPr>
          </w:p>
          <w:p w14:paraId="58B7F99D" w14:textId="77777777" w:rsidR="00181258" w:rsidRPr="00181258" w:rsidRDefault="00181258" w:rsidP="00181258">
            <w:pPr>
              <w:rPr>
                <w:b/>
                <w:highlight w:val="cyan"/>
              </w:rPr>
            </w:pPr>
            <w:r w:rsidRPr="00181258">
              <w:rPr>
                <w:b/>
                <w:highlight w:val="cyan"/>
              </w:rPr>
              <w:t>Semester 2</w:t>
            </w:r>
          </w:p>
          <w:p w14:paraId="0F7473A9" w14:textId="23763B50" w:rsidR="00181258" w:rsidRPr="00181258" w:rsidRDefault="00181258" w:rsidP="00181258">
            <w:pPr>
              <w:rPr>
                <w:highlight w:val="cyan"/>
              </w:rPr>
            </w:pPr>
            <w:r w:rsidRPr="00181258">
              <w:rPr>
                <w:highlight w:val="cyan"/>
              </w:rPr>
              <w:t>08 September 2023</w:t>
            </w:r>
          </w:p>
        </w:tc>
      </w:tr>
      <w:tr w:rsidR="00181258" w14:paraId="43B58316" w14:textId="4560F112" w:rsidTr="00181258">
        <w:tc>
          <w:tcPr>
            <w:tcW w:w="1706" w:type="dxa"/>
            <w:vAlign w:val="center"/>
          </w:tcPr>
          <w:p w14:paraId="05C9BA09" w14:textId="1823AF9D" w:rsidR="00181258" w:rsidRDefault="00181258" w:rsidP="00D40190">
            <w:r>
              <w:t>Operational Changes</w:t>
            </w:r>
          </w:p>
        </w:tc>
        <w:tc>
          <w:tcPr>
            <w:tcW w:w="2900" w:type="dxa"/>
            <w:shd w:val="clear" w:color="auto" w:fill="auto"/>
            <w:vAlign w:val="center"/>
          </w:tcPr>
          <w:p w14:paraId="48BA00DB" w14:textId="6B5F4B87" w:rsidR="00181258" w:rsidRDefault="00181258" w:rsidP="00D40190">
            <w:r>
              <w:t>Programme/Module Specification(s) with tracked changes</w:t>
            </w:r>
          </w:p>
        </w:tc>
        <w:tc>
          <w:tcPr>
            <w:tcW w:w="2557" w:type="dxa"/>
            <w:shd w:val="clear" w:color="auto" w:fill="auto"/>
            <w:vAlign w:val="center"/>
          </w:tcPr>
          <w:p w14:paraId="570BFAAB" w14:textId="248F3E33" w:rsidR="00181258" w:rsidRDefault="00181258" w:rsidP="00D40190">
            <w:r>
              <w:t xml:space="preserve">Programme Manager </w:t>
            </w:r>
            <w:r w:rsidRPr="007B4DFD">
              <w:rPr>
                <w:b/>
              </w:rPr>
              <w:t>AND</w:t>
            </w:r>
            <w:r>
              <w:t xml:space="preserve"> Head of School</w:t>
            </w:r>
          </w:p>
        </w:tc>
        <w:tc>
          <w:tcPr>
            <w:tcW w:w="1853" w:type="dxa"/>
            <w:vMerge/>
          </w:tcPr>
          <w:p w14:paraId="330D2746" w14:textId="13C4335D" w:rsidR="00181258" w:rsidRDefault="00181258" w:rsidP="00181258"/>
        </w:tc>
      </w:tr>
    </w:tbl>
    <w:p w14:paraId="61873FF2" w14:textId="05163016" w:rsidR="000701BA" w:rsidRDefault="00C60324" w:rsidP="000A07A9">
      <w:r>
        <w:br/>
      </w:r>
      <w:r w:rsidR="000A07A9">
        <w:t xml:space="preserve">All proposals to make changes (including approved operational changes) must be submitted to </w:t>
      </w:r>
      <w:hyperlink r:id="rId20" w:history="1">
        <w:r w:rsidR="000A07A9" w:rsidRPr="006E608C">
          <w:rPr>
            <w:rStyle w:val="Hyperlink"/>
          </w:rPr>
          <w:t>quality@rau.ac.uk</w:t>
        </w:r>
      </w:hyperlink>
      <w:r w:rsidR="000A07A9">
        <w:t xml:space="preserve"> by the submission date.</w:t>
      </w:r>
    </w:p>
    <w:p w14:paraId="38186F1E" w14:textId="77777777" w:rsidR="00181258" w:rsidRDefault="000A07A9" w:rsidP="00D24C21">
      <w:r>
        <w:t>Changes submitted after this date will not be accepted.</w:t>
      </w:r>
    </w:p>
    <w:p w14:paraId="29006BC6" w14:textId="2278E3F5" w:rsidR="00181258" w:rsidRDefault="000701BA" w:rsidP="00D24C21">
      <w:r>
        <w:t xml:space="preserve">In exceptional or unforeseen circumstances, late changes may be considered at the discretion of the Director of Academic Services. </w:t>
      </w:r>
      <w:r w:rsidR="00604963">
        <w:t>P</w:t>
      </w:r>
      <w:r>
        <w:t xml:space="preserve">rogramme </w:t>
      </w:r>
      <w:r w:rsidR="00604963">
        <w:t>M</w:t>
      </w:r>
      <w:r>
        <w:t>anagers should discuss the proposal with the Director of Academic Services in the first instance.</w:t>
      </w:r>
    </w:p>
    <w:p w14:paraId="12CE00BA" w14:textId="77777777" w:rsidR="00181258" w:rsidRDefault="00181258">
      <w:r>
        <w:br w:type="page"/>
      </w:r>
    </w:p>
    <w:p w14:paraId="14ED09DD" w14:textId="77777777" w:rsidR="00DD5221" w:rsidRDefault="00DD5221" w:rsidP="00A9626C">
      <w:pPr>
        <w:pStyle w:val="Heading2"/>
        <w:numPr>
          <w:ilvl w:val="1"/>
          <w:numId w:val="28"/>
        </w:numPr>
      </w:pPr>
      <w:bookmarkStart w:id="31" w:name="_Toc85620300"/>
      <w:bookmarkStart w:id="32" w:name="_Toc85620318"/>
      <w:bookmarkStart w:id="33" w:name="_Toc85620376"/>
      <w:r>
        <w:lastRenderedPageBreak/>
        <w:t>Changes which require approval as a new programme</w:t>
      </w:r>
      <w:bookmarkEnd w:id="31"/>
      <w:bookmarkEnd w:id="32"/>
      <w:bookmarkEnd w:id="33"/>
    </w:p>
    <w:p w14:paraId="64A01988" w14:textId="77777777" w:rsidR="00DD5221" w:rsidRDefault="00DD5221" w:rsidP="00DD5221">
      <w:r>
        <w:t xml:space="preserve">In some instances, making changes to a programme will affect the nature of the programme as a whole. In these cases, the proposal should be approved as a new programme and, if required, the original programme should be closed. </w:t>
      </w:r>
    </w:p>
    <w:p w14:paraId="6D0063B9" w14:textId="77777777" w:rsidR="00DD5221" w:rsidRDefault="00DD5221" w:rsidP="00DD5221">
      <w:r>
        <w:t>The following changes must be approved as a new programme:</w:t>
      </w:r>
    </w:p>
    <w:p w14:paraId="42FEB0EF" w14:textId="77777777" w:rsidR="00DD5221" w:rsidRDefault="00DD5221" w:rsidP="00DD5221">
      <w:pPr>
        <w:pStyle w:val="ListParagraph"/>
        <w:numPr>
          <w:ilvl w:val="0"/>
          <w:numId w:val="13"/>
        </w:numPr>
      </w:pPr>
      <w:r>
        <w:t>Creating a new award within an existing programme</w:t>
      </w:r>
    </w:p>
    <w:p w14:paraId="3FD69D10" w14:textId="77777777" w:rsidR="00DD5221" w:rsidRDefault="00DD5221" w:rsidP="00DD5221">
      <w:pPr>
        <w:pStyle w:val="ListParagraph"/>
        <w:numPr>
          <w:ilvl w:val="0"/>
          <w:numId w:val="13"/>
        </w:numPr>
      </w:pPr>
      <w:r>
        <w:t>Creating a new mode of study within an existing programme</w:t>
      </w:r>
    </w:p>
    <w:p w14:paraId="2754394B" w14:textId="77777777" w:rsidR="00DD5221" w:rsidRDefault="00DD5221" w:rsidP="00DD5221">
      <w:pPr>
        <w:pStyle w:val="ListParagraph"/>
        <w:numPr>
          <w:ilvl w:val="0"/>
          <w:numId w:val="13"/>
        </w:numPr>
      </w:pPr>
      <w:r>
        <w:t>Changing the duration of a programme</w:t>
      </w:r>
    </w:p>
    <w:p w14:paraId="6526BADA" w14:textId="77777777" w:rsidR="00DD5221" w:rsidRDefault="00DD5221" w:rsidP="00DD5221">
      <w:pPr>
        <w:pStyle w:val="ListParagraph"/>
        <w:numPr>
          <w:ilvl w:val="0"/>
          <w:numId w:val="13"/>
        </w:numPr>
      </w:pPr>
      <w:r>
        <w:t>Changing the location from which a programme is delivered</w:t>
      </w:r>
    </w:p>
    <w:p w14:paraId="19DB1769" w14:textId="3588B65B" w:rsidR="00DD5221" w:rsidRDefault="00DD5221" w:rsidP="00DD5221">
      <w:pPr>
        <w:pStyle w:val="ListParagraph"/>
        <w:numPr>
          <w:ilvl w:val="0"/>
          <w:numId w:val="13"/>
        </w:numPr>
      </w:pPr>
      <w:r>
        <w:t>Creating a new location for an existing programme</w:t>
      </w:r>
    </w:p>
    <w:p w14:paraId="051DE54C" w14:textId="77777777" w:rsidR="00DD5221" w:rsidRDefault="00DD5221" w:rsidP="00DD5221">
      <w:r>
        <w:t xml:space="preserve">In addition, the Director of Academic Services has discretion to require any proposal to make multiple material, or non-material changes, to be considered as a new programme. </w:t>
      </w:r>
    </w:p>
    <w:p w14:paraId="66F25964" w14:textId="77777777" w:rsidR="00DD5221" w:rsidRDefault="00DD5221" w:rsidP="00A9626C">
      <w:pPr>
        <w:pStyle w:val="Heading2"/>
        <w:numPr>
          <w:ilvl w:val="1"/>
          <w:numId w:val="28"/>
        </w:numPr>
      </w:pPr>
      <w:bookmarkStart w:id="34" w:name="_Toc85620301"/>
      <w:bookmarkStart w:id="35" w:name="_Toc85620319"/>
      <w:bookmarkStart w:id="36" w:name="_Toc85620377"/>
      <w:r>
        <w:t>Changes which require approval of a new module</w:t>
      </w:r>
      <w:bookmarkEnd w:id="34"/>
      <w:bookmarkEnd w:id="35"/>
      <w:bookmarkEnd w:id="36"/>
    </w:p>
    <w:p w14:paraId="7A5C47C9" w14:textId="77777777" w:rsidR="00DD5221" w:rsidRDefault="00DD5221" w:rsidP="00DD5221">
      <w:r>
        <w:t>In some instances, making changes to a module will affect the nature of the module as a whole. In these cases, a new module should be approved and, if required, the original module should be withdrawn. New modules can still be approved through this process.</w:t>
      </w:r>
    </w:p>
    <w:p w14:paraId="413AF0E4" w14:textId="77777777" w:rsidR="00DD5221" w:rsidRDefault="00DD5221" w:rsidP="00DD5221">
      <w:r>
        <w:t>The following changes must be approved as a new module:</w:t>
      </w:r>
    </w:p>
    <w:p w14:paraId="0D3832DF" w14:textId="77777777" w:rsidR="00DD5221" w:rsidRDefault="00DD5221" w:rsidP="00DD5221">
      <w:pPr>
        <w:pStyle w:val="ListParagraph"/>
        <w:numPr>
          <w:ilvl w:val="0"/>
          <w:numId w:val="14"/>
        </w:numPr>
      </w:pPr>
      <w:r>
        <w:t>Changing the module type</w:t>
      </w:r>
    </w:p>
    <w:p w14:paraId="400458E6" w14:textId="77777777" w:rsidR="00DD5221" w:rsidRDefault="00DD5221" w:rsidP="00DD5221">
      <w:pPr>
        <w:pStyle w:val="ListParagraph"/>
        <w:numPr>
          <w:ilvl w:val="0"/>
          <w:numId w:val="14"/>
        </w:numPr>
      </w:pPr>
      <w:r>
        <w:t>Changing the FHEQ level of a module</w:t>
      </w:r>
    </w:p>
    <w:p w14:paraId="01D338C4" w14:textId="77777777" w:rsidR="00DD5221" w:rsidRDefault="00DD5221" w:rsidP="00DD5221">
      <w:pPr>
        <w:pStyle w:val="ListParagraph"/>
        <w:numPr>
          <w:ilvl w:val="0"/>
          <w:numId w:val="14"/>
        </w:numPr>
      </w:pPr>
      <w:r>
        <w:t>Changing the credit value of a module</w:t>
      </w:r>
    </w:p>
    <w:p w14:paraId="1F355613" w14:textId="77777777" w:rsidR="00DD5221" w:rsidRPr="0082580A" w:rsidRDefault="00DD5221" w:rsidP="00DD5221">
      <w:r>
        <w:t>In addition, the Director of Academic Services has discretion to require any proposal to make multiple material, or non-material changes, to be considered as a new module.</w:t>
      </w:r>
    </w:p>
    <w:p w14:paraId="1B329355" w14:textId="75BA7292" w:rsidR="00076397" w:rsidRDefault="005642E0" w:rsidP="00A9626C">
      <w:pPr>
        <w:pStyle w:val="Heading2"/>
        <w:numPr>
          <w:ilvl w:val="1"/>
          <w:numId w:val="28"/>
        </w:numPr>
      </w:pPr>
      <w:bookmarkStart w:id="37" w:name="_Toc85620302"/>
      <w:bookmarkStart w:id="38" w:name="_Toc85620320"/>
      <w:bookmarkStart w:id="39" w:name="_Toc85620378"/>
      <w:r>
        <w:t>Post approval</w:t>
      </w:r>
      <w:bookmarkEnd w:id="37"/>
      <w:bookmarkEnd w:id="38"/>
      <w:bookmarkEnd w:id="39"/>
    </w:p>
    <w:p w14:paraId="7B7D4E81" w14:textId="586C0155" w:rsidR="005642E0" w:rsidRDefault="005642E0" w:rsidP="005642E0">
      <w:r>
        <w:t>Once a change is approved Academic Services will be responsible for:</w:t>
      </w:r>
    </w:p>
    <w:p w14:paraId="7A5305C0" w14:textId="5A3B37F4" w:rsidR="005642E0" w:rsidRDefault="005642E0" w:rsidP="005642E0">
      <w:pPr>
        <w:pStyle w:val="ListParagraph"/>
        <w:numPr>
          <w:ilvl w:val="0"/>
          <w:numId w:val="20"/>
        </w:numPr>
      </w:pPr>
      <w:r>
        <w:t>Updating the definitive programme and module specification(s)</w:t>
      </w:r>
    </w:p>
    <w:p w14:paraId="427BF272" w14:textId="4B14DC44" w:rsidR="005642E0" w:rsidRDefault="005642E0" w:rsidP="005642E0">
      <w:pPr>
        <w:pStyle w:val="ListParagraph"/>
        <w:numPr>
          <w:ilvl w:val="0"/>
          <w:numId w:val="20"/>
        </w:numPr>
      </w:pPr>
      <w:r>
        <w:t>Communicating the change to relevant Programme Managers and Module Leaders</w:t>
      </w:r>
    </w:p>
    <w:p w14:paraId="6D548C61" w14:textId="767AAA73" w:rsidR="005642E0" w:rsidRDefault="005642E0" w:rsidP="005642E0">
      <w:pPr>
        <w:pStyle w:val="ListParagraph"/>
        <w:numPr>
          <w:ilvl w:val="0"/>
          <w:numId w:val="20"/>
        </w:numPr>
      </w:pPr>
      <w:r>
        <w:t>Updating information in the student record system (Quercus) and timetabling system (</w:t>
      </w:r>
      <w:proofErr w:type="spellStart"/>
      <w:r>
        <w:t>Celcat</w:t>
      </w:r>
      <w:proofErr w:type="spellEnd"/>
      <w:r>
        <w:t>)</w:t>
      </w:r>
    </w:p>
    <w:p w14:paraId="6DDA992E" w14:textId="21DE8DBF" w:rsidR="005642E0" w:rsidRDefault="005642E0" w:rsidP="005642E0">
      <w:pPr>
        <w:pStyle w:val="ListParagraph"/>
        <w:numPr>
          <w:ilvl w:val="0"/>
          <w:numId w:val="20"/>
        </w:numPr>
      </w:pPr>
      <w:r>
        <w:t>Liaising with Marketing and Recruitment with regards to information published online and in the print prospectus</w:t>
      </w:r>
    </w:p>
    <w:p w14:paraId="71F09AFF" w14:textId="1B5F8B23" w:rsidR="005642E0" w:rsidRDefault="005642E0" w:rsidP="005642E0">
      <w:pPr>
        <w:pStyle w:val="ListParagraph"/>
        <w:numPr>
          <w:ilvl w:val="0"/>
          <w:numId w:val="20"/>
        </w:numPr>
      </w:pPr>
      <w:r>
        <w:t>Liaising with Digital Innovations with regards to learning resources (including Gateway and the library)</w:t>
      </w:r>
    </w:p>
    <w:p w14:paraId="3B697503" w14:textId="4D991021" w:rsidR="005642E0" w:rsidRDefault="005642E0" w:rsidP="005642E0">
      <w:pPr>
        <w:pStyle w:val="ListParagraph"/>
        <w:numPr>
          <w:ilvl w:val="0"/>
          <w:numId w:val="20"/>
        </w:numPr>
      </w:pPr>
      <w:r>
        <w:t>Consulting and communicating with offer holders</w:t>
      </w:r>
    </w:p>
    <w:p w14:paraId="040CA93E" w14:textId="52D33E75" w:rsidR="005642E0" w:rsidRDefault="005642E0" w:rsidP="005642E0">
      <w:pPr>
        <w:pStyle w:val="ListParagraph"/>
        <w:numPr>
          <w:ilvl w:val="0"/>
          <w:numId w:val="20"/>
        </w:numPr>
      </w:pPr>
      <w:r>
        <w:lastRenderedPageBreak/>
        <w:t>Consulting and communicating with students who are interrupted or suspended</w:t>
      </w:r>
    </w:p>
    <w:p w14:paraId="19DDFC98" w14:textId="6E832D55" w:rsidR="00076397" w:rsidRDefault="005642E0" w:rsidP="00D24C21">
      <w:r>
        <w:t>Once a change is approved the Programme Manager will be responsible for:</w:t>
      </w:r>
    </w:p>
    <w:p w14:paraId="396F03B9" w14:textId="217155B8" w:rsidR="005642E0" w:rsidRDefault="005642E0" w:rsidP="005642E0">
      <w:pPr>
        <w:pStyle w:val="ListParagraph"/>
        <w:numPr>
          <w:ilvl w:val="0"/>
          <w:numId w:val="21"/>
        </w:numPr>
      </w:pPr>
      <w:r>
        <w:t>Ensuring changes are embedded into the delivery of the module/programme</w:t>
      </w:r>
    </w:p>
    <w:p w14:paraId="13F23A5B" w14:textId="6270D974" w:rsidR="005642E0" w:rsidRDefault="005642E0" w:rsidP="005642E0">
      <w:pPr>
        <w:pStyle w:val="ListParagraph"/>
        <w:numPr>
          <w:ilvl w:val="0"/>
          <w:numId w:val="21"/>
        </w:numPr>
      </w:pPr>
      <w:r>
        <w:t>Communicating the change to affected students</w:t>
      </w:r>
      <w:r w:rsidR="00BE2333">
        <w:t xml:space="preserve"> (excluding students who are interrupted or suspended)</w:t>
      </w:r>
    </w:p>
    <w:p w14:paraId="5161D00A" w14:textId="41717678" w:rsidR="00616D44" w:rsidRDefault="00616D44" w:rsidP="00A9626C">
      <w:pPr>
        <w:pStyle w:val="Heading2"/>
        <w:numPr>
          <w:ilvl w:val="1"/>
          <w:numId w:val="28"/>
        </w:numPr>
      </w:pPr>
      <w:bookmarkStart w:id="40" w:name="_Toc85620303"/>
      <w:bookmarkStart w:id="41" w:name="_Toc85620321"/>
      <w:bookmarkStart w:id="42" w:name="_Toc85620379"/>
      <w:r>
        <w:t>Completing a programme/module change form</w:t>
      </w:r>
      <w:bookmarkEnd w:id="40"/>
      <w:bookmarkEnd w:id="41"/>
      <w:bookmarkEnd w:id="42"/>
    </w:p>
    <w:p w14:paraId="2D057D9B" w14:textId="2A235680" w:rsidR="000D203F" w:rsidRDefault="000D203F" w:rsidP="000D203F">
      <w:pPr>
        <w:pStyle w:val="Heading3"/>
      </w:pPr>
      <w:bookmarkStart w:id="43" w:name="_Toc85620304"/>
      <w:bookmarkStart w:id="44" w:name="_Toc85620322"/>
      <w:bookmarkStart w:id="45" w:name="_Toc85620380"/>
      <w:r>
        <w:t>Description of Changes</w:t>
      </w:r>
      <w:bookmarkEnd w:id="43"/>
      <w:bookmarkEnd w:id="44"/>
      <w:bookmarkEnd w:id="45"/>
    </w:p>
    <w:p w14:paraId="28BA2E4A" w14:textId="412A8465" w:rsidR="000D203F" w:rsidRDefault="000D203F" w:rsidP="000D203F">
      <w:r>
        <w:t>The description of changes should be a brief, factual statement of the changes proposed, for example;</w:t>
      </w:r>
    </w:p>
    <w:p w14:paraId="1725DBEE" w14:textId="211AEE3A" w:rsidR="000D203F" w:rsidRPr="000D203F" w:rsidRDefault="000D203F" w:rsidP="000D203F">
      <w:pPr>
        <w:rPr>
          <w:i/>
        </w:rPr>
      </w:pPr>
      <w:r>
        <w:tab/>
      </w:r>
      <w:r>
        <w:rPr>
          <w:i/>
        </w:rPr>
        <w:t>Changing assessment component of module XXXX from A to B</w:t>
      </w:r>
    </w:p>
    <w:p w14:paraId="6CE134E1" w14:textId="2BA2E921" w:rsidR="000D203F" w:rsidRDefault="000D203F" w:rsidP="000D203F">
      <w:r w:rsidRPr="00C17AC0">
        <w:t>Where multiple changes of a similar nature are proposed these can be included on the same form.</w:t>
      </w:r>
      <w:r>
        <w:t xml:space="preserve"> For example, changes to the learning and teaching approach for a suite of modules can be submitted with one form.</w:t>
      </w:r>
    </w:p>
    <w:p w14:paraId="25E25ADC" w14:textId="6885EAFB" w:rsidR="000D203F" w:rsidRDefault="000D203F" w:rsidP="000D203F">
      <w:pPr>
        <w:pStyle w:val="Heading3"/>
      </w:pPr>
      <w:bookmarkStart w:id="46" w:name="_Toc85620305"/>
      <w:bookmarkStart w:id="47" w:name="_Toc85620323"/>
      <w:bookmarkStart w:id="48" w:name="_Toc85620381"/>
      <w:r>
        <w:t>Rationale for change</w:t>
      </w:r>
      <w:bookmarkEnd w:id="46"/>
      <w:bookmarkEnd w:id="47"/>
      <w:bookmarkEnd w:id="48"/>
    </w:p>
    <w:p w14:paraId="1323A14E" w14:textId="0BC87FFA" w:rsidR="000D203F" w:rsidRDefault="000D203F" w:rsidP="00EC497F">
      <w:r>
        <w:t>The rationale should provide a brief explanation for why the changes are required including the impact on the programme as a whole.</w:t>
      </w:r>
    </w:p>
    <w:p w14:paraId="5FE9A0EE" w14:textId="1E3041A4" w:rsidR="009E4F32" w:rsidRDefault="009E4F32" w:rsidP="00EC497F">
      <w:r>
        <w:t xml:space="preserve">When submitting and reviewing proposals, Heads of School and Programme Managers should </w:t>
      </w:r>
      <w:r w:rsidR="000D203F">
        <w:t>consider the overall impact to ensure that individual changes won’t have an adverse impact on the programme, for example, where changing the assessment components of one module might reduce the variety of assessment types across the programme.</w:t>
      </w:r>
    </w:p>
    <w:p w14:paraId="3C52E45B" w14:textId="7777D91D" w:rsidR="000D203F" w:rsidRDefault="000D203F" w:rsidP="000D203F">
      <w:pPr>
        <w:pStyle w:val="Heading3"/>
      </w:pPr>
      <w:bookmarkStart w:id="49" w:name="_Toc85620306"/>
      <w:bookmarkStart w:id="50" w:name="_Toc85620324"/>
      <w:bookmarkStart w:id="51" w:name="_Toc85620382"/>
      <w:r>
        <w:t>Module Specifications</w:t>
      </w:r>
      <w:bookmarkEnd w:id="49"/>
      <w:bookmarkEnd w:id="50"/>
      <w:bookmarkEnd w:id="51"/>
    </w:p>
    <w:p w14:paraId="0AD3996F" w14:textId="71C4A1C7" w:rsidR="000D203F" w:rsidRDefault="000D203F" w:rsidP="00EC497F">
      <w:r>
        <w:t>Programme and module change forms should be submitted with a Module Specification showing tracked changes.</w:t>
      </w:r>
    </w:p>
    <w:p w14:paraId="1F7F36C5" w14:textId="422C3258" w:rsidR="000D203F" w:rsidRDefault="000D203F" w:rsidP="00EC497F">
      <w:r>
        <w:t>Module Specifications should refer to the relevant QAA Benchmark Statement. Subject Benchmark statements are available online at:</w:t>
      </w:r>
    </w:p>
    <w:p w14:paraId="5ED1AE0C" w14:textId="26E8B736" w:rsidR="000D203F" w:rsidRDefault="007F7C6C" w:rsidP="00EC497F">
      <w:hyperlink r:id="rId21" w:history="1">
        <w:r w:rsidR="000D203F" w:rsidRPr="006F37F4">
          <w:rPr>
            <w:rStyle w:val="Hyperlink"/>
          </w:rPr>
          <w:t>https://www.qaa.ac.uk/quality-code/subject-benchmark-statements</w:t>
        </w:r>
      </w:hyperlink>
    </w:p>
    <w:p w14:paraId="2FD9D294" w14:textId="13EB2460" w:rsidR="000D203F" w:rsidRDefault="000D203F" w:rsidP="00EC497F">
      <w:r>
        <w:t>Learning Outcomes should be aligned to the relevant Subject Benchmark Statement and the Qualification Descriptors outlined in the Frameworks for Higher Education Qualifications of UK Degree-Awarding Bodies (FHEQ). The FHEQ, including Qualification Descriptors is available online at:</w:t>
      </w:r>
    </w:p>
    <w:p w14:paraId="794859A0" w14:textId="4A36B155" w:rsidR="00C17AC0" w:rsidRDefault="007F7C6C" w:rsidP="00EC497F">
      <w:hyperlink r:id="rId22" w:history="1">
        <w:r w:rsidR="00F04898" w:rsidRPr="006F37F4">
          <w:rPr>
            <w:rStyle w:val="Hyperlink"/>
          </w:rPr>
          <w:t>https://www.qaa.ac.uk/quality-code/qualifications-frameworks</w:t>
        </w:r>
      </w:hyperlink>
    </w:p>
    <w:sectPr w:rsidR="00C17A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1A3FC" w14:textId="77777777" w:rsidR="00580788" w:rsidRDefault="00580788" w:rsidP="00115965">
      <w:pPr>
        <w:spacing w:after="0" w:line="240" w:lineRule="auto"/>
      </w:pPr>
      <w:r>
        <w:separator/>
      </w:r>
    </w:p>
  </w:endnote>
  <w:endnote w:type="continuationSeparator" w:id="0">
    <w:p w14:paraId="0B26B5FC" w14:textId="77777777" w:rsidR="00580788" w:rsidRDefault="00580788" w:rsidP="00115965">
      <w:pPr>
        <w:spacing w:after="0" w:line="240" w:lineRule="auto"/>
      </w:pPr>
      <w:r>
        <w:continuationSeparator/>
      </w:r>
    </w:p>
  </w:endnote>
  <w:endnote w:type="continuationNotice" w:id="1">
    <w:p w14:paraId="5D6AA950" w14:textId="77777777" w:rsidR="00580788" w:rsidRDefault="005807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07CF8" w14:textId="19204058" w:rsidR="00115965" w:rsidRDefault="00115965" w:rsidP="00115965">
    <w:pPr>
      <w:pStyle w:val="Footer"/>
      <w:jc w:val="center"/>
    </w:pPr>
    <w:r>
      <w:t xml:space="preserve">Page </w:t>
    </w:r>
    <w:r>
      <w:fldChar w:fldCharType="begin"/>
    </w:r>
    <w:r>
      <w:instrText xml:space="preserve"> PAGE   \* MERGEFORMAT </w:instrText>
    </w:r>
    <w:r>
      <w:fldChar w:fldCharType="separate"/>
    </w:r>
    <w:r>
      <w:rPr>
        <w:noProof/>
      </w:rPr>
      <w:t>2</w:t>
    </w:r>
    <w:r>
      <w:fldChar w:fldCharType="end"/>
    </w:r>
    <w:r>
      <w:t xml:space="preserve"> of </w:t>
    </w:r>
    <w:r w:rsidR="007F7C6C">
      <w:fldChar w:fldCharType="begin"/>
    </w:r>
    <w:r w:rsidR="007F7C6C">
      <w:instrText>NUMPAGES   \* MERGEFORMAT</w:instrText>
    </w:r>
    <w:r w:rsidR="007F7C6C">
      <w:fldChar w:fldCharType="separate"/>
    </w:r>
    <w:r>
      <w:rPr>
        <w:noProof/>
      </w:rPr>
      <w:t>7</w:t>
    </w:r>
    <w:r w:rsidR="007F7C6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908CF" w14:textId="77777777" w:rsidR="00580788" w:rsidRDefault="00580788" w:rsidP="00115965">
      <w:pPr>
        <w:spacing w:after="0" w:line="240" w:lineRule="auto"/>
      </w:pPr>
      <w:r>
        <w:separator/>
      </w:r>
    </w:p>
  </w:footnote>
  <w:footnote w:type="continuationSeparator" w:id="0">
    <w:p w14:paraId="03599A20" w14:textId="77777777" w:rsidR="00580788" w:rsidRDefault="00580788" w:rsidP="00115965">
      <w:pPr>
        <w:spacing w:after="0" w:line="240" w:lineRule="auto"/>
      </w:pPr>
      <w:r>
        <w:continuationSeparator/>
      </w:r>
    </w:p>
  </w:footnote>
  <w:footnote w:type="continuationNotice" w:id="1">
    <w:p w14:paraId="39402DE0" w14:textId="77777777" w:rsidR="00580788" w:rsidRDefault="005807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C73AE" w14:textId="58D54141" w:rsidR="00115965" w:rsidRPr="00115965" w:rsidRDefault="00115965" w:rsidP="00604963">
    <w:pPr>
      <w:jc w:val="right"/>
    </w:pPr>
    <w:r>
      <w:t xml:space="preserve">A - </w:t>
    </w:r>
    <w:r w:rsidRPr="00115965">
      <w:t>Program</w:t>
    </w:r>
    <w:r>
      <w:t>me Design and Development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E2223" w14:textId="6EEBA964" w:rsidR="00115965" w:rsidRPr="00115965" w:rsidRDefault="00115965" w:rsidP="00115965">
    <w:pPr>
      <w:pStyle w:val="Title"/>
      <w:rPr>
        <w:sz w:val="160"/>
        <w:szCs w:val="160"/>
      </w:rPr>
    </w:pPr>
    <w:r w:rsidRPr="00115965">
      <w:rPr>
        <w:sz w:val="160"/>
        <w:szCs w:val="160"/>
      </w:rPr>
      <w:t>A</w:t>
    </w:r>
    <w:r w:rsidRPr="00871074">
      <w:rPr>
        <w:noProof/>
      </w:rPr>
      <w:drawing>
        <wp:anchor distT="0" distB="0" distL="114300" distR="114300" simplePos="0" relativeHeight="251658240" behindDoc="1" locked="0" layoutInCell="1" allowOverlap="1" wp14:anchorId="75FD1941" wp14:editId="09BED931">
          <wp:simplePos x="0" y="0"/>
          <wp:positionH relativeFrom="column">
            <wp:posOffset>0</wp:posOffset>
          </wp:positionH>
          <wp:positionV relativeFrom="page">
            <wp:posOffset>629920</wp:posOffset>
          </wp:positionV>
          <wp:extent cx="1522730" cy="828675"/>
          <wp:effectExtent l="0" t="0" r="1270" b="9525"/>
          <wp:wrapTight wrapText="bothSides">
            <wp:wrapPolygon edited="0">
              <wp:start x="1892" y="0"/>
              <wp:lineTo x="0" y="3476"/>
              <wp:lineTo x="0" y="20855"/>
              <wp:lineTo x="17565" y="21352"/>
              <wp:lineTo x="19456" y="21352"/>
              <wp:lineTo x="19997" y="16386"/>
              <wp:lineTo x="21348" y="14897"/>
              <wp:lineTo x="21348" y="10924"/>
              <wp:lineTo x="14592" y="7945"/>
              <wp:lineTo x="15133" y="4469"/>
              <wp:lineTo x="13781" y="3476"/>
              <wp:lineTo x="3783" y="0"/>
              <wp:lineTo x="189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U_Logo_Main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730" cy="8286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65F34"/>
    <w:multiLevelType w:val="multilevel"/>
    <w:tmpl w:val="360AADF4"/>
    <w:lvl w:ilvl="0">
      <w:start w:val="1"/>
      <w:numFmt w:val="decimal"/>
      <w:lvlText w:val="%1."/>
      <w:lvlJc w:val="left"/>
      <w:pPr>
        <w:ind w:left="936" w:hanging="720"/>
      </w:pPr>
      <w:rPr>
        <w:rFonts w:hint="default"/>
      </w:rPr>
    </w:lvl>
    <w:lvl w:ilvl="1">
      <w:start w:val="1"/>
      <w:numFmt w:val="decimal"/>
      <w:isLgl/>
      <w:lvlText w:val="%1.%2"/>
      <w:lvlJc w:val="left"/>
      <w:pPr>
        <w:ind w:left="936" w:hanging="720"/>
      </w:pPr>
      <w:rPr>
        <w:rFonts w:hint="default"/>
      </w:rPr>
    </w:lvl>
    <w:lvl w:ilvl="2">
      <w:start w:val="1"/>
      <w:numFmt w:val="decimal"/>
      <w:isLgl/>
      <w:lvlText w:val="%1.%2.%3"/>
      <w:lvlJc w:val="left"/>
      <w:pPr>
        <w:ind w:left="1296" w:hanging="1080"/>
      </w:pPr>
      <w:rPr>
        <w:rFonts w:hint="default"/>
      </w:rPr>
    </w:lvl>
    <w:lvl w:ilvl="3">
      <w:start w:val="1"/>
      <w:numFmt w:val="decimal"/>
      <w:isLgl/>
      <w:lvlText w:val="%1.%2.%3.%4"/>
      <w:lvlJc w:val="left"/>
      <w:pPr>
        <w:ind w:left="1296" w:hanging="1080"/>
      </w:pPr>
      <w:rPr>
        <w:rFonts w:hint="default"/>
      </w:rPr>
    </w:lvl>
    <w:lvl w:ilvl="4">
      <w:start w:val="1"/>
      <w:numFmt w:val="decimal"/>
      <w:isLgl/>
      <w:lvlText w:val="%1.%2.%3.%4.%5"/>
      <w:lvlJc w:val="left"/>
      <w:pPr>
        <w:ind w:left="1656" w:hanging="1440"/>
      </w:pPr>
      <w:rPr>
        <w:rFonts w:hint="default"/>
      </w:rPr>
    </w:lvl>
    <w:lvl w:ilvl="5">
      <w:start w:val="1"/>
      <w:numFmt w:val="decimal"/>
      <w:isLgl/>
      <w:lvlText w:val="%1.%2.%3.%4.%5.%6"/>
      <w:lvlJc w:val="left"/>
      <w:pPr>
        <w:ind w:left="2016" w:hanging="1800"/>
      </w:pPr>
      <w:rPr>
        <w:rFonts w:hint="default"/>
      </w:rPr>
    </w:lvl>
    <w:lvl w:ilvl="6">
      <w:start w:val="1"/>
      <w:numFmt w:val="decimal"/>
      <w:isLgl/>
      <w:lvlText w:val="%1.%2.%3.%4.%5.%6.%7"/>
      <w:lvlJc w:val="left"/>
      <w:pPr>
        <w:ind w:left="2376" w:hanging="2160"/>
      </w:pPr>
      <w:rPr>
        <w:rFonts w:hint="default"/>
      </w:rPr>
    </w:lvl>
    <w:lvl w:ilvl="7">
      <w:start w:val="1"/>
      <w:numFmt w:val="decimal"/>
      <w:isLgl/>
      <w:lvlText w:val="%1.%2.%3.%4.%5.%6.%7.%8"/>
      <w:lvlJc w:val="left"/>
      <w:pPr>
        <w:ind w:left="2376" w:hanging="2160"/>
      </w:pPr>
      <w:rPr>
        <w:rFonts w:hint="default"/>
      </w:rPr>
    </w:lvl>
    <w:lvl w:ilvl="8">
      <w:start w:val="1"/>
      <w:numFmt w:val="decimal"/>
      <w:isLgl/>
      <w:lvlText w:val="%1.%2.%3.%4.%5.%6.%7.%8.%9"/>
      <w:lvlJc w:val="left"/>
      <w:pPr>
        <w:ind w:left="2736" w:hanging="2520"/>
      </w:pPr>
      <w:rPr>
        <w:rFonts w:hint="default"/>
      </w:rPr>
    </w:lvl>
  </w:abstractNum>
  <w:abstractNum w:abstractNumId="1" w15:restartNumberingAfterBreak="0">
    <w:nsid w:val="0A0223A1"/>
    <w:multiLevelType w:val="multilevel"/>
    <w:tmpl w:val="360AADF4"/>
    <w:lvl w:ilvl="0">
      <w:start w:val="1"/>
      <w:numFmt w:val="decimal"/>
      <w:lvlText w:val="%1."/>
      <w:lvlJc w:val="left"/>
      <w:pPr>
        <w:ind w:left="936" w:hanging="720"/>
      </w:pPr>
      <w:rPr>
        <w:rFonts w:hint="default"/>
      </w:rPr>
    </w:lvl>
    <w:lvl w:ilvl="1">
      <w:start w:val="1"/>
      <w:numFmt w:val="decimal"/>
      <w:isLgl/>
      <w:lvlText w:val="%1.%2"/>
      <w:lvlJc w:val="left"/>
      <w:pPr>
        <w:ind w:left="936" w:hanging="720"/>
      </w:pPr>
      <w:rPr>
        <w:rFonts w:hint="default"/>
      </w:rPr>
    </w:lvl>
    <w:lvl w:ilvl="2">
      <w:start w:val="1"/>
      <w:numFmt w:val="decimal"/>
      <w:isLgl/>
      <w:lvlText w:val="%1.%2.%3"/>
      <w:lvlJc w:val="left"/>
      <w:pPr>
        <w:ind w:left="1296" w:hanging="1080"/>
      </w:pPr>
      <w:rPr>
        <w:rFonts w:hint="default"/>
      </w:rPr>
    </w:lvl>
    <w:lvl w:ilvl="3">
      <w:start w:val="1"/>
      <w:numFmt w:val="decimal"/>
      <w:isLgl/>
      <w:lvlText w:val="%1.%2.%3.%4"/>
      <w:lvlJc w:val="left"/>
      <w:pPr>
        <w:ind w:left="1296" w:hanging="1080"/>
      </w:pPr>
      <w:rPr>
        <w:rFonts w:hint="default"/>
      </w:rPr>
    </w:lvl>
    <w:lvl w:ilvl="4">
      <w:start w:val="1"/>
      <w:numFmt w:val="decimal"/>
      <w:isLgl/>
      <w:lvlText w:val="%1.%2.%3.%4.%5"/>
      <w:lvlJc w:val="left"/>
      <w:pPr>
        <w:ind w:left="1656" w:hanging="1440"/>
      </w:pPr>
      <w:rPr>
        <w:rFonts w:hint="default"/>
      </w:rPr>
    </w:lvl>
    <w:lvl w:ilvl="5">
      <w:start w:val="1"/>
      <w:numFmt w:val="decimal"/>
      <w:isLgl/>
      <w:lvlText w:val="%1.%2.%3.%4.%5.%6"/>
      <w:lvlJc w:val="left"/>
      <w:pPr>
        <w:ind w:left="2016" w:hanging="1800"/>
      </w:pPr>
      <w:rPr>
        <w:rFonts w:hint="default"/>
      </w:rPr>
    </w:lvl>
    <w:lvl w:ilvl="6">
      <w:start w:val="1"/>
      <w:numFmt w:val="decimal"/>
      <w:isLgl/>
      <w:lvlText w:val="%1.%2.%3.%4.%5.%6.%7"/>
      <w:lvlJc w:val="left"/>
      <w:pPr>
        <w:ind w:left="2376" w:hanging="2160"/>
      </w:pPr>
      <w:rPr>
        <w:rFonts w:hint="default"/>
      </w:rPr>
    </w:lvl>
    <w:lvl w:ilvl="7">
      <w:start w:val="1"/>
      <w:numFmt w:val="decimal"/>
      <w:isLgl/>
      <w:lvlText w:val="%1.%2.%3.%4.%5.%6.%7.%8"/>
      <w:lvlJc w:val="left"/>
      <w:pPr>
        <w:ind w:left="2376" w:hanging="2160"/>
      </w:pPr>
      <w:rPr>
        <w:rFonts w:hint="default"/>
      </w:rPr>
    </w:lvl>
    <w:lvl w:ilvl="8">
      <w:start w:val="1"/>
      <w:numFmt w:val="decimal"/>
      <w:isLgl/>
      <w:lvlText w:val="%1.%2.%3.%4.%5.%6.%7.%8.%9"/>
      <w:lvlJc w:val="left"/>
      <w:pPr>
        <w:ind w:left="2736" w:hanging="2520"/>
      </w:pPr>
      <w:rPr>
        <w:rFonts w:hint="default"/>
      </w:rPr>
    </w:lvl>
  </w:abstractNum>
  <w:abstractNum w:abstractNumId="2" w15:restartNumberingAfterBreak="0">
    <w:nsid w:val="111D277F"/>
    <w:multiLevelType w:val="hybridMultilevel"/>
    <w:tmpl w:val="BE44D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226BA"/>
    <w:multiLevelType w:val="hybridMultilevel"/>
    <w:tmpl w:val="F1A04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8359B8"/>
    <w:multiLevelType w:val="hybridMultilevel"/>
    <w:tmpl w:val="5498A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278C5"/>
    <w:multiLevelType w:val="hybridMultilevel"/>
    <w:tmpl w:val="ED8CD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91E7F"/>
    <w:multiLevelType w:val="hybridMultilevel"/>
    <w:tmpl w:val="63984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781A0B"/>
    <w:multiLevelType w:val="hybridMultilevel"/>
    <w:tmpl w:val="D7543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1027B0"/>
    <w:multiLevelType w:val="hybridMultilevel"/>
    <w:tmpl w:val="832CD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A6661E"/>
    <w:multiLevelType w:val="multilevel"/>
    <w:tmpl w:val="360AADF4"/>
    <w:lvl w:ilvl="0">
      <w:start w:val="1"/>
      <w:numFmt w:val="decimal"/>
      <w:lvlText w:val="%1."/>
      <w:lvlJc w:val="left"/>
      <w:pPr>
        <w:ind w:left="936" w:hanging="720"/>
      </w:pPr>
      <w:rPr>
        <w:rFonts w:hint="default"/>
      </w:rPr>
    </w:lvl>
    <w:lvl w:ilvl="1">
      <w:start w:val="1"/>
      <w:numFmt w:val="decimal"/>
      <w:isLgl/>
      <w:lvlText w:val="%1.%2"/>
      <w:lvlJc w:val="left"/>
      <w:pPr>
        <w:ind w:left="936" w:hanging="720"/>
      </w:pPr>
      <w:rPr>
        <w:rFonts w:hint="default"/>
      </w:rPr>
    </w:lvl>
    <w:lvl w:ilvl="2">
      <w:start w:val="1"/>
      <w:numFmt w:val="decimal"/>
      <w:isLgl/>
      <w:lvlText w:val="%1.%2.%3"/>
      <w:lvlJc w:val="left"/>
      <w:pPr>
        <w:ind w:left="1296" w:hanging="1080"/>
      </w:pPr>
      <w:rPr>
        <w:rFonts w:hint="default"/>
      </w:rPr>
    </w:lvl>
    <w:lvl w:ilvl="3">
      <w:start w:val="1"/>
      <w:numFmt w:val="decimal"/>
      <w:isLgl/>
      <w:lvlText w:val="%1.%2.%3.%4"/>
      <w:lvlJc w:val="left"/>
      <w:pPr>
        <w:ind w:left="1296" w:hanging="1080"/>
      </w:pPr>
      <w:rPr>
        <w:rFonts w:hint="default"/>
      </w:rPr>
    </w:lvl>
    <w:lvl w:ilvl="4">
      <w:start w:val="1"/>
      <w:numFmt w:val="decimal"/>
      <w:isLgl/>
      <w:lvlText w:val="%1.%2.%3.%4.%5"/>
      <w:lvlJc w:val="left"/>
      <w:pPr>
        <w:ind w:left="1656" w:hanging="1440"/>
      </w:pPr>
      <w:rPr>
        <w:rFonts w:hint="default"/>
      </w:rPr>
    </w:lvl>
    <w:lvl w:ilvl="5">
      <w:start w:val="1"/>
      <w:numFmt w:val="decimal"/>
      <w:isLgl/>
      <w:lvlText w:val="%1.%2.%3.%4.%5.%6"/>
      <w:lvlJc w:val="left"/>
      <w:pPr>
        <w:ind w:left="2016" w:hanging="1800"/>
      </w:pPr>
      <w:rPr>
        <w:rFonts w:hint="default"/>
      </w:rPr>
    </w:lvl>
    <w:lvl w:ilvl="6">
      <w:start w:val="1"/>
      <w:numFmt w:val="decimal"/>
      <w:isLgl/>
      <w:lvlText w:val="%1.%2.%3.%4.%5.%6.%7"/>
      <w:lvlJc w:val="left"/>
      <w:pPr>
        <w:ind w:left="2376" w:hanging="2160"/>
      </w:pPr>
      <w:rPr>
        <w:rFonts w:hint="default"/>
      </w:rPr>
    </w:lvl>
    <w:lvl w:ilvl="7">
      <w:start w:val="1"/>
      <w:numFmt w:val="decimal"/>
      <w:isLgl/>
      <w:lvlText w:val="%1.%2.%3.%4.%5.%6.%7.%8"/>
      <w:lvlJc w:val="left"/>
      <w:pPr>
        <w:ind w:left="2376" w:hanging="2160"/>
      </w:pPr>
      <w:rPr>
        <w:rFonts w:hint="default"/>
      </w:rPr>
    </w:lvl>
    <w:lvl w:ilvl="8">
      <w:start w:val="1"/>
      <w:numFmt w:val="decimal"/>
      <w:isLgl/>
      <w:lvlText w:val="%1.%2.%3.%4.%5.%6.%7.%8.%9"/>
      <w:lvlJc w:val="left"/>
      <w:pPr>
        <w:ind w:left="2736" w:hanging="2520"/>
      </w:pPr>
      <w:rPr>
        <w:rFonts w:hint="default"/>
      </w:rPr>
    </w:lvl>
  </w:abstractNum>
  <w:abstractNum w:abstractNumId="10" w15:restartNumberingAfterBreak="0">
    <w:nsid w:val="378362E8"/>
    <w:multiLevelType w:val="hybridMultilevel"/>
    <w:tmpl w:val="56A44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6D4844"/>
    <w:multiLevelType w:val="hybridMultilevel"/>
    <w:tmpl w:val="5672A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077E65"/>
    <w:multiLevelType w:val="hybridMultilevel"/>
    <w:tmpl w:val="6726B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77024"/>
    <w:multiLevelType w:val="hybridMultilevel"/>
    <w:tmpl w:val="C03EB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C871D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FDA3418"/>
    <w:multiLevelType w:val="hybridMultilevel"/>
    <w:tmpl w:val="50449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236565"/>
    <w:multiLevelType w:val="hybridMultilevel"/>
    <w:tmpl w:val="173CCE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440636C"/>
    <w:multiLevelType w:val="hybridMultilevel"/>
    <w:tmpl w:val="E73C9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577541"/>
    <w:multiLevelType w:val="hybridMultilevel"/>
    <w:tmpl w:val="326A7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D10DBC"/>
    <w:multiLevelType w:val="hybridMultilevel"/>
    <w:tmpl w:val="0D247D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EC0AEA"/>
    <w:multiLevelType w:val="multilevel"/>
    <w:tmpl w:val="854ADF50"/>
    <w:lvl w:ilvl="0">
      <w:start w:val="4"/>
      <w:numFmt w:val="decimal"/>
      <w:lvlText w:val="%1"/>
      <w:lvlJc w:val="left"/>
      <w:pPr>
        <w:ind w:left="936" w:hanging="720"/>
      </w:pPr>
      <w:rPr>
        <w:rFonts w:hint="default"/>
      </w:rPr>
    </w:lvl>
    <w:lvl w:ilvl="1">
      <w:start w:val="1"/>
      <w:numFmt w:val="decimal"/>
      <w:lvlText w:val="%1.%2."/>
      <w:lvlJc w:val="left"/>
      <w:pPr>
        <w:ind w:left="936" w:hanging="720"/>
      </w:pPr>
      <w:rPr>
        <w:rFonts w:ascii="Arial" w:eastAsia="Arial" w:hAnsi="Arial" w:cs="Arial" w:hint="default"/>
        <w:b/>
        <w:bCs/>
        <w:i w:val="0"/>
        <w:iCs w:val="0"/>
        <w:spacing w:val="-1"/>
        <w:w w:val="100"/>
        <w:sz w:val="24"/>
        <w:szCs w:val="24"/>
      </w:rPr>
    </w:lvl>
    <w:lvl w:ilvl="2">
      <w:start w:val="1"/>
      <w:numFmt w:val="decimal"/>
      <w:lvlText w:val="%1.%2.%3."/>
      <w:lvlJc w:val="left"/>
      <w:pPr>
        <w:ind w:left="1297" w:hanging="1080"/>
      </w:pPr>
      <w:rPr>
        <w:rFonts w:ascii="Arial" w:eastAsia="Arial" w:hAnsi="Arial" w:cs="Arial" w:hint="default"/>
        <w:b w:val="0"/>
        <w:bCs w:val="0"/>
        <w:i w:val="0"/>
        <w:iCs w:val="0"/>
        <w:spacing w:val="-1"/>
        <w:w w:val="100"/>
        <w:sz w:val="24"/>
        <w:szCs w:val="24"/>
      </w:rPr>
    </w:lvl>
    <w:lvl w:ilvl="3">
      <w:numFmt w:val="bullet"/>
      <w:lvlText w:val="•"/>
      <w:lvlJc w:val="left"/>
      <w:pPr>
        <w:ind w:left="2989" w:hanging="1080"/>
      </w:pPr>
      <w:rPr>
        <w:rFonts w:hint="default"/>
      </w:rPr>
    </w:lvl>
    <w:lvl w:ilvl="4">
      <w:numFmt w:val="bullet"/>
      <w:lvlText w:val="•"/>
      <w:lvlJc w:val="left"/>
      <w:pPr>
        <w:ind w:left="3834" w:hanging="1080"/>
      </w:pPr>
      <w:rPr>
        <w:rFonts w:hint="default"/>
      </w:rPr>
    </w:lvl>
    <w:lvl w:ilvl="5">
      <w:numFmt w:val="bullet"/>
      <w:lvlText w:val="•"/>
      <w:lvlJc w:val="left"/>
      <w:pPr>
        <w:ind w:left="4679" w:hanging="1080"/>
      </w:pPr>
      <w:rPr>
        <w:rFonts w:hint="default"/>
      </w:rPr>
    </w:lvl>
    <w:lvl w:ilvl="6">
      <w:numFmt w:val="bullet"/>
      <w:lvlText w:val="•"/>
      <w:lvlJc w:val="left"/>
      <w:pPr>
        <w:ind w:left="5524" w:hanging="1080"/>
      </w:pPr>
      <w:rPr>
        <w:rFonts w:hint="default"/>
      </w:rPr>
    </w:lvl>
    <w:lvl w:ilvl="7">
      <w:numFmt w:val="bullet"/>
      <w:lvlText w:val="•"/>
      <w:lvlJc w:val="left"/>
      <w:pPr>
        <w:ind w:left="6369" w:hanging="1080"/>
      </w:pPr>
      <w:rPr>
        <w:rFonts w:hint="default"/>
      </w:rPr>
    </w:lvl>
    <w:lvl w:ilvl="8">
      <w:numFmt w:val="bullet"/>
      <w:lvlText w:val="•"/>
      <w:lvlJc w:val="left"/>
      <w:pPr>
        <w:ind w:left="7214" w:hanging="1080"/>
      </w:pPr>
      <w:rPr>
        <w:rFonts w:hint="default"/>
      </w:rPr>
    </w:lvl>
  </w:abstractNum>
  <w:abstractNum w:abstractNumId="21" w15:restartNumberingAfterBreak="0">
    <w:nsid w:val="6CB5240A"/>
    <w:multiLevelType w:val="hybridMultilevel"/>
    <w:tmpl w:val="A3AA3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CE142A"/>
    <w:multiLevelType w:val="hybridMultilevel"/>
    <w:tmpl w:val="67468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ED4AA7"/>
    <w:multiLevelType w:val="hybridMultilevel"/>
    <w:tmpl w:val="44D65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9D7A9A"/>
    <w:multiLevelType w:val="multilevel"/>
    <w:tmpl w:val="854ADF50"/>
    <w:lvl w:ilvl="0">
      <w:start w:val="4"/>
      <w:numFmt w:val="decimal"/>
      <w:lvlText w:val="%1"/>
      <w:lvlJc w:val="left"/>
      <w:pPr>
        <w:ind w:left="936" w:hanging="720"/>
      </w:pPr>
      <w:rPr>
        <w:rFonts w:hint="default"/>
      </w:rPr>
    </w:lvl>
    <w:lvl w:ilvl="1">
      <w:start w:val="1"/>
      <w:numFmt w:val="decimal"/>
      <w:lvlText w:val="%1.%2."/>
      <w:lvlJc w:val="left"/>
      <w:pPr>
        <w:ind w:left="936" w:hanging="720"/>
      </w:pPr>
      <w:rPr>
        <w:rFonts w:ascii="Arial" w:eastAsia="Arial" w:hAnsi="Arial" w:cs="Arial" w:hint="default"/>
        <w:b/>
        <w:bCs/>
        <w:i w:val="0"/>
        <w:iCs w:val="0"/>
        <w:spacing w:val="-1"/>
        <w:w w:val="100"/>
        <w:sz w:val="24"/>
        <w:szCs w:val="24"/>
      </w:rPr>
    </w:lvl>
    <w:lvl w:ilvl="2">
      <w:start w:val="1"/>
      <w:numFmt w:val="decimal"/>
      <w:lvlText w:val="%1.%2.%3."/>
      <w:lvlJc w:val="left"/>
      <w:pPr>
        <w:ind w:left="1297" w:hanging="1080"/>
      </w:pPr>
      <w:rPr>
        <w:rFonts w:ascii="Arial" w:eastAsia="Arial" w:hAnsi="Arial" w:cs="Arial" w:hint="default"/>
        <w:b w:val="0"/>
        <w:bCs w:val="0"/>
        <w:i w:val="0"/>
        <w:iCs w:val="0"/>
        <w:spacing w:val="-1"/>
        <w:w w:val="100"/>
        <w:sz w:val="24"/>
        <w:szCs w:val="24"/>
      </w:rPr>
    </w:lvl>
    <w:lvl w:ilvl="3">
      <w:numFmt w:val="bullet"/>
      <w:lvlText w:val="•"/>
      <w:lvlJc w:val="left"/>
      <w:pPr>
        <w:ind w:left="2989" w:hanging="1080"/>
      </w:pPr>
      <w:rPr>
        <w:rFonts w:hint="default"/>
      </w:rPr>
    </w:lvl>
    <w:lvl w:ilvl="4">
      <w:numFmt w:val="bullet"/>
      <w:lvlText w:val="•"/>
      <w:lvlJc w:val="left"/>
      <w:pPr>
        <w:ind w:left="3834" w:hanging="1080"/>
      </w:pPr>
      <w:rPr>
        <w:rFonts w:hint="default"/>
      </w:rPr>
    </w:lvl>
    <w:lvl w:ilvl="5">
      <w:numFmt w:val="bullet"/>
      <w:lvlText w:val="•"/>
      <w:lvlJc w:val="left"/>
      <w:pPr>
        <w:ind w:left="4679" w:hanging="1080"/>
      </w:pPr>
      <w:rPr>
        <w:rFonts w:hint="default"/>
      </w:rPr>
    </w:lvl>
    <w:lvl w:ilvl="6">
      <w:numFmt w:val="bullet"/>
      <w:lvlText w:val="•"/>
      <w:lvlJc w:val="left"/>
      <w:pPr>
        <w:ind w:left="5524" w:hanging="1080"/>
      </w:pPr>
      <w:rPr>
        <w:rFonts w:hint="default"/>
      </w:rPr>
    </w:lvl>
    <w:lvl w:ilvl="7">
      <w:numFmt w:val="bullet"/>
      <w:lvlText w:val="•"/>
      <w:lvlJc w:val="left"/>
      <w:pPr>
        <w:ind w:left="6369" w:hanging="1080"/>
      </w:pPr>
      <w:rPr>
        <w:rFonts w:hint="default"/>
      </w:rPr>
    </w:lvl>
    <w:lvl w:ilvl="8">
      <w:numFmt w:val="bullet"/>
      <w:lvlText w:val="•"/>
      <w:lvlJc w:val="left"/>
      <w:pPr>
        <w:ind w:left="7214" w:hanging="1080"/>
      </w:pPr>
      <w:rPr>
        <w:rFonts w:hint="default"/>
      </w:rPr>
    </w:lvl>
  </w:abstractNum>
  <w:abstractNum w:abstractNumId="25" w15:restartNumberingAfterBreak="0">
    <w:nsid w:val="76EE4F91"/>
    <w:multiLevelType w:val="hybridMultilevel"/>
    <w:tmpl w:val="73561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147B15"/>
    <w:multiLevelType w:val="hybridMultilevel"/>
    <w:tmpl w:val="57DC2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20"/>
  </w:num>
  <w:num w:numId="4">
    <w:abstractNumId w:val="14"/>
  </w:num>
  <w:num w:numId="5">
    <w:abstractNumId w:val="10"/>
  </w:num>
  <w:num w:numId="6">
    <w:abstractNumId w:val="4"/>
  </w:num>
  <w:num w:numId="7">
    <w:abstractNumId w:val="3"/>
  </w:num>
  <w:num w:numId="8">
    <w:abstractNumId w:val="11"/>
  </w:num>
  <w:num w:numId="9">
    <w:abstractNumId w:val="12"/>
  </w:num>
  <w:num w:numId="10">
    <w:abstractNumId w:val="15"/>
  </w:num>
  <w:num w:numId="11">
    <w:abstractNumId w:val="22"/>
  </w:num>
  <w:num w:numId="12">
    <w:abstractNumId w:val="5"/>
  </w:num>
  <w:num w:numId="13">
    <w:abstractNumId w:val="21"/>
  </w:num>
  <w:num w:numId="14">
    <w:abstractNumId w:val="13"/>
  </w:num>
  <w:num w:numId="15">
    <w:abstractNumId w:val="18"/>
  </w:num>
  <w:num w:numId="16">
    <w:abstractNumId w:val="6"/>
  </w:num>
  <w:num w:numId="17">
    <w:abstractNumId w:val="7"/>
  </w:num>
  <w:num w:numId="18">
    <w:abstractNumId w:val="26"/>
  </w:num>
  <w:num w:numId="19">
    <w:abstractNumId w:val="17"/>
  </w:num>
  <w:num w:numId="20">
    <w:abstractNumId w:val="8"/>
  </w:num>
  <w:num w:numId="21">
    <w:abstractNumId w:val="23"/>
  </w:num>
  <w:num w:numId="22">
    <w:abstractNumId w:val="2"/>
  </w:num>
  <w:num w:numId="23">
    <w:abstractNumId w:val="25"/>
  </w:num>
  <w:num w:numId="24">
    <w:abstractNumId w:val="24"/>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9"/>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39A"/>
    <w:rsid w:val="00007251"/>
    <w:rsid w:val="00025247"/>
    <w:rsid w:val="00067F26"/>
    <w:rsid w:val="000701BA"/>
    <w:rsid w:val="000749CD"/>
    <w:rsid w:val="00076397"/>
    <w:rsid w:val="000A07A9"/>
    <w:rsid w:val="000A1043"/>
    <w:rsid w:val="000D203F"/>
    <w:rsid w:val="000E7828"/>
    <w:rsid w:val="00100EB9"/>
    <w:rsid w:val="00115965"/>
    <w:rsid w:val="00151EF9"/>
    <w:rsid w:val="00181258"/>
    <w:rsid w:val="00285DE4"/>
    <w:rsid w:val="004215C6"/>
    <w:rsid w:val="0044207E"/>
    <w:rsid w:val="00455B1C"/>
    <w:rsid w:val="004617E7"/>
    <w:rsid w:val="004D5464"/>
    <w:rsid w:val="004E485A"/>
    <w:rsid w:val="005642E0"/>
    <w:rsid w:val="00580788"/>
    <w:rsid w:val="005A624D"/>
    <w:rsid w:val="00604963"/>
    <w:rsid w:val="00616D44"/>
    <w:rsid w:val="007B4DFD"/>
    <w:rsid w:val="007C1522"/>
    <w:rsid w:val="007F7C6C"/>
    <w:rsid w:val="00810A39"/>
    <w:rsid w:val="008167E8"/>
    <w:rsid w:val="0082239A"/>
    <w:rsid w:val="00824402"/>
    <w:rsid w:val="0082580A"/>
    <w:rsid w:val="0088775B"/>
    <w:rsid w:val="00940337"/>
    <w:rsid w:val="009E4F32"/>
    <w:rsid w:val="00A436E9"/>
    <w:rsid w:val="00A9626C"/>
    <w:rsid w:val="00AC5906"/>
    <w:rsid w:val="00AF3FD2"/>
    <w:rsid w:val="00B01599"/>
    <w:rsid w:val="00B11CC5"/>
    <w:rsid w:val="00B22F97"/>
    <w:rsid w:val="00B843FD"/>
    <w:rsid w:val="00B862BE"/>
    <w:rsid w:val="00BE2333"/>
    <w:rsid w:val="00C17AC0"/>
    <w:rsid w:val="00C60324"/>
    <w:rsid w:val="00CA0236"/>
    <w:rsid w:val="00CB6E76"/>
    <w:rsid w:val="00CC6A74"/>
    <w:rsid w:val="00D24C21"/>
    <w:rsid w:val="00D40190"/>
    <w:rsid w:val="00D7162F"/>
    <w:rsid w:val="00DD5221"/>
    <w:rsid w:val="00EA2032"/>
    <w:rsid w:val="00EC497F"/>
    <w:rsid w:val="00EF39AA"/>
    <w:rsid w:val="00F04898"/>
    <w:rsid w:val="00F16DFC"/>
    <w:rsid w:val="00F2341F"/>
    <w:rsid w:val="00F62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D427E2"/>
  <w15:chartTrackingRefBased/>
  <w15:docId w15:val="{3E7D017E-493A-4D05-8EA3-D95FCB37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4C21"/>
    <w:rPr>
      <w:rFonts w:ascii="Tahoma" w:hAnsi="Tahoma" w:cs="Tahoma"/>
      <w:sz w:val="24"/>
      <w:szCs w:val="24"/>
    </w:rPr>
  </w:style>
  <w:style w:type="paragraph" w:styleId="Heading1">
    <w:name w:val="heading 1"/>
    <w:basedOn w:val="Normal"/>
    <w:next w:val="Normal"/>
    <w:link w:val="Heading1Char"/>
    <w:uiPriority w:val="9"/>
    <w:qFormat/>
    <w:rsid w:val="00D24C21"/>
    <w:pPr>
      <w:outlineLvl w:val="0"/>
    </w:pPr>
    <w:rPr>
      <w:b/>
      <w:color w:val="800000"/>
      <w:sz w:val="48"/>
      <w:szCs w:val="48"/>
    </w:rPr>
  </w:style>
  <w:style w:type="paragraph" w:styleId="Heading2">
    <w:name w:val="heading 2"/>
    <w:basedOn w:val="Normal"/>
    <w:next w:val="Normal"/>
    <w:link w:val="Heading2Char"/>
    <w:uiPriority w:val="9"/>
    <w:unhideWhenUsed/>
    <w:qFormat/>
    <w:rsid w:val="00D24C21"/>
    <w:pPr>
      <w:outlineLvl w:val="1"/>
    </w:pPr>
    <w:rPr>
      <w:b/>
    </w:rPr>
  </w:style>
  <w:style w:type="paragraph" w:styleId="Heading3">
    <w:name w:val="heading 3"/>
    <w:basedOn w:val="Normal"/>
    <w:next w:val="Normal"/>
    <w:link w:val="Heading3Char"/>
    <w:uiPriority w:val="9"/>
    <w:unhideWhenUsed/>
    <w:qFormat/>
    <w:rsid w:val="00D24C21"/>
    <w:pPr>
      <w:outlineLvl w:val="2"/>
    </w:pPr>
    <w:rPr>
      <w:u w:val="single"/>
    </w:rPr>
  </w:style>
  <w:style w:type="paragraph" w:styleId="Heading4">
    <w:name w:val="heading 4"/>
    <w:basedOn w:val="Normal"/>
    <w:next w:val="Normal"/>
    <w:link w:val="Heading4Char"/>
    <w:uiPriority w:val="9"/>
    <w:semiHidden/>
    <w:unhideWhenUsed/>
    <w:rsid w:val="00CC6A7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C6A7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C6A7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C6A7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C6A7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C6A7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C21"/>
    <w:rPr>
      <w:rFonts w:ascii="Tahoma" w:hAnsi="Tahoma" w:cs="Tahoma"/>
      <w:b/>
      <w:color w:val="800000"/>
      <w:sz w:val="48"/>
      <w:szCs w:val="48"/>
    </w:rPr>
  </w:style>
  <w:style w:type="paragraph" w:styleId="ListParagraph">
    <w:name w:val="List Paragraph"/>
    <w:basedOn w:val="Normal"/>
    <w:uiPriority w:val="34"/>
    <w:qFormat/>
    <w:rsid w:val="0082239A"/>
    <w:pPr>
      <w:ind w:left="720"/>
      <w:contextualSpacing/>
    </w:pPr>
  </w:style>
  <w:style w:type="paragraph" w:styleId="Title">
    <w:name w:val="Title"/>
    <w:basedOn w:val="Normal"/>
    <w:next w:val="Normal"/>
    <w:link w:val="TitleChar"/>
    <w:uiPriority w:val="10"/>
    <w:qFormat/>
    <w:rsid w:val="00D24C21"/>
    <w:pPr>
      <w:jc w:val="right"/>
    </w:pPr>
    <w:rPr>
      <w:b/>
      <w:sz w:val="72"/>
      <w:szCs w:val="72"/>
    </w:rPr>
  </w:style>
  <w:style w:type="character" w:customStyle="1" w:styleId="TitleChar">
    <w:name w:val="Title Char"/>
    <w:basedOn w:val="DefaultParagraphFont"/>
    <w:link w:val="Title"/>
    <w:uiPriority w:val="10"/>
    <w:rsid w:val="00D24C21"/>
    <w:rPr>
      <w:rFonts w:ascii="Tahoma" w:hAnsi="Tahoma" w:cs="Tahoma"/>
      <w:b/>
      <w:sz w:val="72"/>
      <w:szCs w:val="72"/>
    </w:rPr>
  </w:style>
  <w:style w:type="character" w:customStyle="1" w:styleId="Heading2Char">
    <w:name w:val="Heading 2 Char"/>
    <w:basedOn w:val="DefaultParagraphFont"/>
    <w:link w:val="Heading2"/>
    <w:uiPriority w:val="9"/>
    <w:rsid w:val="00D24C21"/>
    <w:rPr>
      <w:rFonts w:ascii="Tahoma" w:hAnsi="Tahoma" w:cs="Tahoma"/>
      <w:b/>
      <w:sz w:val="24"/>
      <w:szCs w:val="24"/>
    </w:rPr>
  </w:style>
  <w:style w:type="character" w:customStyle="1" w:styleId="Heading3Char">
    <w:name w:val="Heading 3 Char"/>
    <w:basedOn w:val="DefaultParagraphFont"/>
    <w:link w:val="Heading3"/>
    <w:uiPriority w:val="9"/>
    <w:rsid w:val="00D24C21"/>
    <w:rPr>
      <w:rFonts w:ascii="Tahoma" w:hAnsi="Tahoma" w:cs="Tahoma"/>
      <w:sz w:val="24"/>
      <w:szCs w:val="24"/>
      <w:u w:val="single"/>
    </w:rPr>
  </w:style>
  <w:style w:type="paragraph" w:styleId="Header">
    <w:name w:val="header"/>
    <w:basedOn w:val="Normal"/>
    <w:link w:val="HeaderChar"/>
    <w:uiPriority w:val="99"/>
    <w:unhideWhenUsed/>
    <w:rsid w:val="001159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965"/>
    <w:rPr>
      <w:rFonts w:ascii="Tahoma" w:hAnsi="Tahoma" w:cs="Tahoma"/>
      <w:sz w:val="24"/>
      <w:szCs w:val="24"/>
    </w:rPr>
  </w:style>
  <w:style w:type="paragraph" w:styleId="Footer">
    <w:name w:val="footer"/>
    <w:basedOn w:val="Normal"/>
    <w:link w:val="FooterChar"/>
    <w:uiPriority w:val="99"/>
    <w:unhideWhenUsed/>
    <w:rsid w:val="00115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965"/>
    <w:rPr>
      <w:rFonts w:ascii="Tahoma" w:hAnsi="Tahoma" w:cs="Tahoma"/>
      <w:sz w:val="24"/>
      <w:szCs w:val="24"/>
    </w:rPr>
  </w:style>
  <w:style w:type="table" w:styleId="TableGrid">
    <w:name w:val="Table Grid"/>
    <w:basedOn w:val="TableNormal"/>
    <w:uiPriority w:val="39"/>
    <w:rsid w:val="000A1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397"/>
    <w:rPr>
      <w:color w:val="0563C1" w:themeColor="hyperlink"/>
      <w:u w:val="single"/>
    </w:rPr>
  </w:style>
  <w:style w:type="character" w:styleId="UnresolvedMention">
    <w:name w:val="Unresolved Mention"/>
    <w:basedOn w:val="DefaultParagraphFont"/>
    <w:uiPriority w:val="99"/>
    <w:semiHidden/>
    <w:unhideWhenUsed/>
    <w:rsid w:val="00076397"/>
    <w:rPr>
      <w:color w:val="605E5C"/>
      <w:shd w:val="clear" w:color="auto" w:fill="E1DFDD"/>
    </w:rPr>
  </w:style>
  <w:style w:type="character" w:customStyle="1" w:styleId="Heading4Char">
    <w:name w:val="Heading 4 Char"/>
    <w:basedOn w:val="DefaultParagraphFont"/>
    <w:link w:val="Heading4"/>
    <w:uiPriority w:val="9"/>
    <w:semiHidden/>
    <w:rsid w:val="00CC6A74"/>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CC6A74"/>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CC6A74"/>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CC6A74"/>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CC6A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C6A74"/>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EC49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97F"/>
    <w:rPr>
      <w:rFonts w:ascii="Segoe UI" w:hAnsi="Segoe UI" w:cs="Segoe UI"/>
      <w:sz w:val="18"/>
      <w:szCs w:val="18"/>
    </w:rPr>
  </w:style>
  <w:style w:type="paragraph" w:styleId="TOC2">
    <w:name w:val="toc 2"/>
    <w:basedOn w:val="Normal"/>
    <w:next w:val="Normal"/>
    <w:autoRedefine/>
    <w:uiPriority w:val="39"/>
    <w:unhideWhenUsed/>
    <w:rsid w:val="00F04898"/>
    <w:pPr>
      <w:spacing w:before="240" w:after="0"/>
    </w:pPr>
    <w:rPr>
      <w:rFonts w:asciiTheme="minorHAnsi" w:hAnsiTheme="minorHAnsi" w:cstheme="minorHAnsi"/>
      <w:b/>
      <w:bCs/>
      <w:sz w:val="20"/>
      <w:szCs w:val="20"/>
    </w:rPr>
  </w:style>
  <w:style w:type="paragraph" w:styleId="TOC1">
    <w:name w:val="toc 1"/>
    <w:basedOn w:val="Normal"/>
    <w:next w:val="Normal"/>
    <w:autoRedefine/>
    <w:uiPriority w:val="39"/>
    <w:unhideWhenUsed/>
    <w:rsid w:val="00F04898"/>
    <w:pPr>
      <w:spacing w:before="360" w:after="0"/>
    </w:pPr>
    <w:rPr>
      <w:rFonts w:asciiTheme="majorHAnsi" w:hAnsiTheme="majorHAnsi" w:cstheme="majorHAnsi"/>
      <w:b/>
      <w:bCs/>
      <w:caps/>
    </w:rPr>
  </w:style>
  <w:style w:type="paragraph" w:styleId="TOC3">
    <w:name w:val="toc 3"/>
    <w:basedOn w:val="Normal"/>
    <w:next w:val="Normal"/>
    <w:autoRedefine/>
    <w:uiPriority w:val="39"/>
    <w:unhideWhenUsed/>
    <w:rsid w:val="00F04898"/>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F04898"/>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F04898"/>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F04898"/>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F04898"/>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F04898"/>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F04898"/>
    <w:pPr>
      <w:spacing w:after="0"/>
      <w:ind w:left="1680"/>
    </w:pPr>
    <w:rPr>
      <w:rFonts w:asciiTheme="minorHAnsi" w:hAnsiTheme="minorHAnsi" w:cstheme="minorHAnsi"/>
      <w:sz w:val="20"/>
      <w:szCs w:val="20"/>
    </w:rPr>
  </w:style>
  <w:style w:type="paragraph" w:styleId="TOCHeading">
    <w:name w:val="TOC Heading"/>
    <w:basedOn w:val="Heading1"/>
    <w:next w:val="Normal"/>
    <w:uiPriority w:val="39"/>
    <w:unhideWhenUsed/>
    <w:qFormat/>
    <w:rsid w:val="00F04898"/>
    <w:pPr>
      <w:keepNext/>
      <w:keepLines/>
      <w:spacing w:before="240" w:after="0"/>
      <w:outlineLvl w:val="9"/>
    </w:pPr>
    <w:rPr>
      <w:rFonts w:asciiTheme="majorHAnsi" w:eastAsiaTheme="majorEastAsia" w:hAnsiTheme="majorHAnsi" w:cstheme="majorBidi"/>
      <w:b w:val="0"/>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sa.ac.uk/collection/c20052" TargetMode="External"/><Relationship Id="rId3" Type="http://schemas.openxmlformats.org/officeDocument/2006/relationships/customXml" Target="../customXml/item3.xml"/><Relationship Id="rId21" Type="http://schemas.openxmlformats.org/officeDocument/2006/relationships/hyperlink" Target="https://www.qaa.ac.uk/quality-code/subject-benchmark-statement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sa.ac.uk/collection/c20051" TargetMode="External"/><Relationship Id="rId2" Type="http://schemas.openxmlformats.org/officeDocument/2006/relationships/customXml" Target="../customXml/item2.xml"/><Relationship Id="rId16" Type="http://schemas.openxmlformats.org/officeDocument/2006/relationships/hyperlink" Target="https://www.qaa.ac.uk/en/quality-code/advice-and-guidance/course-design-and-development" TargetMode="External"/><Relationship Id="rId20" Type="http://schemas.openxmlformats.org/officeDocument/2006/relationships/hyperlink" Target="mailto:quality@rau.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428549/HE_providers_-_advice_on_consumer_protection_law.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sa.ac.uk/collection/c2106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fficeforstudents.org.uk/advice-and-guidance/regulation/conditions-of-registration/initial-and-general-ongoing-conditions-of-registration/" TargetMode="External"/><Relationship Id="rId22" Type="http://schemas.openxmlformats.org/officeDocument/2006/relationships/hyperlink" Target="https://www.qaa.ac.uk/quality-code/qualifications-framework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323C71D748A64F990F0136F9609742" ma:contentTypeVersion="12" ma:contentTypeDescription="Create a new document." ma:contentTypeScope="" ma:versionID="e4ff3b7b6ffc95e3fffd79635e929417">
  <xsd:schema xmlns:xsd="http://www.w3.org/2001/XMLSchema" xmlns:xs="http://www.w3.org/2001/XMLSchema" xmlns:p="http://schemas.microsoft.com/office/2006/metadata/properties" xmlns:ns3="2b667af1-55bf-4dac-9925-8a6ad5223d19" xmlns:ns4="ac664174-f25b-4234-b3be-d0f3689b03c1" targetNamespace="http://schemas.microsoft.com/office/2006/metadata/properties" ma:root="true" ma:fieldsID="158a94703a16d4ba35f23b059a540604" ns3:_="" ns4:_="">
    <xsd:import namespace="2b667af1-55bf-4dac-9925-8a6ad5223d19"/>
    <xsd:import namespace="ac664174-f25b-4234-b3be-d0f3689b03c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67af1-55bf-4dac-9925-8a6ad5223d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664174-f25b-4234-b3be-d0f3689b03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AA12A-6221-46A3-A316-D592783703DA}">
  <ds:schemaRefs>
    <ds:schemaRef ds:uri="http://schemas.microsoft.com/sharepoint/v3/contenttype/forms"/>
  </ds:schemaRefs>
</ds:datastoreItem>
</file>

<file path=customXml/itemProps2.xml><?xml version="1.0" encoding="utf-8"?>
<ds:datastoreItem xmlns:ds="http://schemas.openxmlformats.org/officeDocument/2006/customXml" ds:itemID="{27070352-E77D-4D68-A16B-3ED8954AF524}">
  <ds:schemaRefs>
    <ds:schemaRef ds:uri="http://schemas.microsoft.com/office/2006/documentManagement/types"/>
    <ds:schemaRef ds:uri="2b667af1-55bf-4dac-9925-8a6ad5223d19"/>
    <ds:schemaRef ds:uri="http://purl.org/dc/elements/1.1/"/>
    <ds:schemaRef ds:uri="http://schemas.openxmlformats.org/package/2006/metadata/core-properties"/>
    <ds:schemaRef ds:uri="http://purl.org/dc/terms/"/>
    <ds:schemaRef ds:uri="http://schemas.microsoft.com/office/infopath/2007/PartnerControls"/>
    <ds:schemaRef ds:uri="ac664174-f25b-4234-b3be-d0f3689b03c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6A75DB3-2914-4DA7-AA24-13C12EDA3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67af1-55bf-4dac-9925-8a6ad5223d19"/>
    <ds:schemaRef ds:uri="ac664174-f25b-4234-b3be-d0f3689b0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70A8C7-A5DC-4187-9D5D-20307EF96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1577</Words>
  <Characters>8991</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Royal Agricultural University</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Todhunter</dc:creator>
  <cp:keywords/>
  <dc:description/>
  <cp:lastModifiedBy>Kate Perris</cp:lastModifiedBy>
  <cp:revision>2</cp:revision>
  <cp:lastPrinted>2021-10-28T08:11:00Z</cp:lastPrinted>
  <dcterms:created xsi:type="dcterms:W3CDTF">2022-05-24T11:22:00Z</dcterms:created>
  <dcterms:modified xsi:type="dcterms:W3CDTF">2022-05-24T11:22:00Z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0x010100E8323C71D748A64F990F0136F9609742</vt:lpwstr>
  </property>
</Properties>
</file>