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C5E6A" w14:textId="49FA4AE1" w:rsidR="00D24C21" w:rsidRDefault="00F8633C" w:rsidP="00D24C21">
      <w:pPr>
        <w:pStyle w:val="Title"/>
      </w:pPr>
      <w:bookmarkStart w:id="0" w:name="_GoBack"/>
      <w:bookmarkEnd w:id="0"/>
      <w:r>
        <w:t>Learning and Teaching</w:t>
      </w:r>
      <w:r w:rsidR="00D24C21" w:rsidRPr="00D24C21">
        <w:t xml:space="preserve"> Code of Practice</w:t>
      </w:r>
    </w:p>
    <w:p w14:paraId="3FDEF9E0" w14:textId="6824D01A" w:rsidR="00F8633C" w:rsidRDefault="00F8633C" w:rsidP="00F8633C"/>
    <w:p w14:paraId="00BC08C1" w14:textId="77777777" w:rsidR="00F8633C" w:rsidRDefault="00F8633C" w:rsidP="00F8633C">
      <w:pPr>
        <w:jc w:val="right"/>
        <w:rPr>
          <w:rFonts w:ascii="Segoe UI" w:hAnsi="Segoe UI" w:cs="Segoe UI"/>
          <w:b/>
          <w:bCs/>
          <w:sz w:val="18"/>
          <w:szCs w:val="18"/>
        </w:rPr>
      </w:pPr>
      <w:r>
        <w:rPr>
          <w:rStyle w:val="normaltextrun"/>
          <w:u w:val="single"/>
        </w:rPr>
        <w:t>Academic Governance Approval</w:t>
      </w:r>
      <w:r>
        <w:rPr>
          <w:rStyle w:val="eop"/>
          <w:b/>
          <w:bCs/>
        </w:rPr>
        <w:t> </w:t>
      </w:r>
    </w:p>
    <w:p w14:paraId="48A88EDB" w14:textId="77777777" w:rsidR="00F8633C" w:rsidRDefault="00F8633C" w:rsidP="00F8633C">
      <w:pPr>
        <w:jc w:val="right"/>
        <w:rPr>
          <w:rFonts w:ascii="Segoe UI" w:hAnsi="Segoe UI" w:cs="Segoe UI"/>
          <w:b/>
          <w:bCs/>
          <w:sz w:val="18"/>
          <w:szCs w:val="18"/>
        </w:rPr>
      </w:pPr>
      <w:r>
        <w:rPr>
          <w:rStyle w:val="normaltextrun"/>
        </w:rPr>
        <w:t>Academic Quality and Standards Committee (AQSC)</w:t>
      </w:r>
      <w:r>
        <w:rPr>
          <w:rStyle w:val="eop"/>
          <w:b/>
          <w:bCs/>
        </w:rPr>
        <w:t> </w:t>
      </w:r>
    </w:p>
    <w:p w14:paraId="057D50FD" w14:textId="77777777" w:rsidR="00F8633C" w:rsidRDefault="00F8633C" w:rsidP="00F8633C">
      <w:pPr>
        <w:jc w:val="right"/>
        <w:rPr>
          <w:rFonts w:ascii="Segoe UI" w:hAnsi="Segoe UI" w:cs="Segoe UI"/>
          <w:sz w:val="18"/>
          <w:szCs w:val="18"/>
        </w:rPr>
      </w:pPr>
      <w:r>
        <w:rPr>
          <w:rStyle w:val="eop"/>
        </w:rPr>
        <w:t> </w:t>
      </w:r>
    </w:p>
    <w:p w14:paraId="3398A84B" w14:textId="77777777" w:rsidR="00F8633C" w:rsidRDefault="00F8633C" w:rsidP="00F8633C">
      <w:pPr>
        <w:jc w:val="right"/>
        <w:rPr>
          <w:rFonts w:ascii="Segoe UI" w:hAnsi="Segoe UI" w:cs="Segoe UI"/>
          <w:b/>
          <w:bCs/>
          <w:sz w:val="18"/>
          <w:szCs w:val="18"/>
        </w:rPr>
      </w:pPr>
      <w:r>
        <w:rPr>
          <w:rStyle w:val="normaltextrun"/>
          <w:u w:val="single"/>
        </w:rPr>
        <w:t>Academic Sponsor</w:t>
      </w:r>
      <w:r>
        <w:rPr>
          <w:rStyle w:val="eop"/>
          <w:b/>
          <w:bCs/>
        </w:rPr>
        <w:t> </w:t>
      </w:r>
    </w:p>
    <w:p w14:paraId="027D096F" w14:textId="77777777" w:rsidR="00F8633C" w:rsidRDefault="00F8633C" w:rsidP="00F8633C">
      <w:pPr>
        <w:jc w:val="right"/>
        <w:rPr>
          <w:rFonts w:ascii="Segoe UI" w:hAnsi="Segoe UI" w:cs="Segoe UI"/>
          <w:sz w:val="18"/>
          <w:szCs w:val="18"/>
        </w:rPr>
      </w:pPr>
      <w:r>
        <w:rPr>
          <w:rStyle w:val="normaltextrun"/>
        </w:rPr>
        <w:t>Pro Vice-Chancellor (Education and Students)</w:t>
      </w:r>
      <w:r>
        <w:rPr>
          <w:rStyle w:val="eop"/>
        </w:rPr>
        <w:t> </w:t>
      </w:r>
    </w:p>
    <w:p w14:paraId="11DFA60B" w14:textId="77777777" w:rsidR="00F8633C" w:rsidRDefault="00F8633C" w:rsidP="00F8633C">
      <w:pPr>
        <w:jc w:val="right"/>
        <w:rPr>
          <w:rFonts w:ascii="Segoe UI" w:hAnsi="Segoe UI" w:cs="Segoe UI"/>
          <w:sz w:val="18"/>
          <w:szCs w:val="18"/>
        </w:rPr>
      </w:pPr>
      <w:r>
        <w:rPr>
          <w:rStyle w:val="eop"/>
        </w:rPr>
        <w:t> </w:t>
      </w:r>
    </w:p>
    <w:p w14:paraId="4BF1A8BF" w14:textId="77777777" w:rsidR="00F8633C" w:rsidRDefault="00F8633C" w:rsidP="00F8633C">
      <w:pPr>
        <w:jc w:val="right"/>
        <w:rPr>
          <w:rFonts w:ascii="Segoe UI" w:hAnsi="Segoe UI" w:cs="Segoe UI"/>
          <w:b/>
          <w:bCs/>
          <w:sz w:val="18"/>
          <w:szCs w:val="18"/>
        </w:rPr>
      </w:pPr>
      <w:r>
        <w:rPr>
          <w:rStyle w:val="normaltextrun"/>
          <w:u w:val="single"/>
        </w:rPr>
        <w:t>Professional Services Owner</w:t>
      </w:r>
      <w:r>
        <w:rPr>
          <w:rStyle w:val="eop"/>
          <w:b/>
          <w:bCs/>
        </w:rPr>
        <w:t> </w:t>
      </w:r>
    </w:p>
    <w:p w14:paraId="10E39370" w14:textId="77777777" w:rsidR="00F8633C" w:rsidRDefault="00F8633C" w:rsidP="00F8633C">
      <w:pPr>
        <w:jc w:val="right"/>
        <w:rPr>
          <w:rFonts w:ascii="Segoe UI" w:hAnsi="Segoe UI" w:cs="Segoe UI"/>
          <w:b/>
          <w:bCs/>
          <w:sz w:val="18"/>
          <w:szCs w:val="18"/>
        </w:rPr>
      </w:pPr>
      <w:r>
        <w:rPr>
          <w:rStyle w:val="normaltextrun"/>
        </w:rPr>
        <w:t>Assistant Registrar (Quality, Assessment and Partnerships)</w:t>
      </w:r>
      <w:r>
        <w:rPr>
          <w:rStyle w:val="eop"/>
          <w:b/>
          <w:bCs/>
        </w:rPr>
        <w:t> </w:t>
      </w:r>
    </w:p>
    <w:p w14:paraId="059BE052" w14:textId="77777777" w:rsidR="00F8633C" w:rsidRDefault="00F8633C" w:rsidP="00F8633C">
      <w:pPr>
        <w:jc w:val="right"/>
        <w:rPr>
          <w:rFonts w:ascii="Segoe UI" w:hAnsi="Segoe UI" w:cs="Segoe UI"/>
          <w:sz w:val="18"/>
          <w:szCs w:val="18"/>
        </w:rPr>
      </w:pPr>
      <w:r>
        <w:rPr>
          <w:rStyle w:val="normaltextrun"/>
        </w:rPr>
        <w:t>Assistant Registrar (Student Records, Operations and Returns) </w:t>
      </w:r>
      <w:r>
        <w:rPr>
          <w:rStyle w:val="eop"/>
        </w:rPr>
        <w:t> </w:t>
      </w:r>
    </w:p>
    <w:p w14:paraId="67506B75" w14:textId="6FC5968C" w:rsidR="00F8633C" w:rsidRDefault="00F8633C" w:rsidP="00F8633C"/>
    <w:p w14:paraId="0A2D60F0" w14:textId="77777777" w:rsidR="00260228" w:rsidRPr="00F8633C" w:rsidRDefault="00260228" w:rsidP="00F8633C"/>
    <w:p w14:paraId="7E75BA52" w14:textId="2BC64158" w:rsidR="00260228" w:rsidRPr="00810A39" w:rsidRDefault="00260228" w:rsidP="00260228">
      <w:pPr>
        <w:jc w:val="right"/>
        <w:rPr>
          <w:u w:val="single"/>
        </w:rPr>
      </w:pPr>
      <w:r w:rsidRPr="00810A39">
        <w:rPr>
          <w:u w:val="single"/>
        </w:rPr>
        <w:t>Date Approved</w:t>
      </w:r>
    </w:p>
    <w:p w14:paraId="34F44DBD" w14:textId="0579C6A4" w:rsidR="00D24C21" w:rsidRDefault="00260228" w:rsidP="00260228">
      <w:pPr>
        <w:jc w:val="right"/>
      </w:pPr>
      <w:r>
        <w:t>23 May 2022</w:t>
      </w:r>
    </w:p>
    <w:p w14:paraId="34D1A85C" w14:textId="77777777" w:rsidR="00260228" w:rsidRDefault="00260228" w:rsidP="00D24C21"/>
    <w:p w14:paraId="01503E61" w14:textId="77777777" w:rsidR="00260228" w:rsidRDefault="00260228" w:rsidP="00D24C21"/>
    <w:p w14:paraId="615EE5F1" w14:textId="6A34A94F" w:rsidR="00260228" w:rsidRDefault="00260228" w:rsidP="00D24C21">
      <w:pPr>
        <w:sectPr w:rsidR="00260228" w:rsidSect="00F8633C">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10A83BCD" w14:textId="77777777" w:rsidR="00D24C21" w:rsidRDefault="00D24C21" w:rsidP="00D24C21">
      <w:pPr>
        <w:pStyle w:val="Heading1"/>
      </w:pPr>
      <w:r>
        <w:lastRenderedPageBreak/>
        <w:t>Contents</w:t>
      </w:r>
    </w:p>
    <w:p w14:paraId="210AD482" w14:textId="07F430D6" w:rsidR="00D24C21" w:rsidRDefault="00F8633C" w:rsidP="00F8633C">
      <w:pPr>
        <w:pStyle w:val="ListParagraph"/>
        <w:numPr>
          <w:ilvl w:val="0"/>
          <w:numId w:val="5"/>
        </w:numPr>
      </w:pPr>
      <w:r>
        <w:t>Timetabling</w:t>
      </w:r>
      <w:r>
        <w:tab/>
      </w:r>
      <w:r>
        <w:tab/>
      </w:r>
      <w:r>
        <w:tab/>
      </w:r>
      <w:r>
        <w:tab/>
      </w:r>
      <w:r>
        <w:tab/>
      </w:r>
      <w:r>
        <w:tab/>
      </w:r>
      <w:r>
        <w:tab/>
      </w:r>
      <w:r>
        <w:tab/>
      </w:r>
      <w:r>
        <w:tab/>
        <w:t>3</w:t>
      </w:r>
    </w:p>
    <w:p w14:paraId="59A54A12" w14:textId="77777777" w:rsidR="00D24C21" w:rsidRDefault="00D24C21">
      <w:pPr>
        <w:rPr>
          <w:b/>
          <w:sz w:val="28"/>
          <w:szCs w:val="28"/>
        </w:rPr>
      </w:pPr>
      <w:r>
        <w:rPr>
          <w:sz w:val="28"/>
          <w:szCs w:val="28"/>
        </w:rPr>
        <w:br w:type="page"/>
      </w:r>
    </w:p>
    <w:p w14:paraId="351768E9" w14:textId="2D61A93A" w:rsidR="00D24C21" w:rsidRDefault="00F8633C" w:rsidP="00F8633C">
      <w:pPr>
        <w:pStyle w:val="Heading1"/>
        <w:numPr>
          <w:ilvl w:val="0"/>
          <w:numId w:val="6"/>
        </w:numPr>
      </w:pPr>
      <w:r>
        <w:lastRenderedPageBreak/>
        <w:t>Timetabling</w:t>
      </w:r>
    </w:p>
    <w:p w14:paraId="715ADD79" w14:textId="13F145C3" w:rsidR="008F6188" w:rsidRDefault="008F6188" w:rsidP="00BF3075">
      <w:pPr>
        <w:pStyle w:val="Heading2"/>
      </w:pPr>
      <w:r>
        <w:t xml:space="preserve">Purpose </w:t>
      </w:r>
      <w:r w:rsidR="00B57506">
        <w:t xml:space="preserve">and Objectives </w:t>
      </w:r>
      <w:r>
        <w:t>of Timetabling</w:t>
      </w:r>
    </w:p>
    <w:p w14:paraId="22B9C256" w14:textId="5E60162D" w:rsidR="008F6188" w:rsidRDefault="001352F2" w:rsidP="008F6188">
      <w:r>
        <w:t xml:space="preserve">A </w:t>
      </w:r>
      <w:r w:rsidR="00D4328E">
        <w:t xml:space="preserve">comprehensive </w:t>
      </w:r>
      <w:r>
        <w:t xml:space="preserve">timetable is a </w:t>
      </w:r>
      <w:r w:rsidR="00D4328E">
        <w:t>fundamental building block of a well-design</w:t>
      </w:r>
      <w:r w:rsidR="00B57506">
        <w:t xml:space="preserve">ed, and well-delivered curriculum. A planned and structured approach to timetabling is therefore </w:t>
      </w:r>
      <w:r w:rsidR="00FB3AE1">
        <w:t>essential</w:t>
      </w:r>
      <w:r w:rsidR="00B57506">
        <w:t xml:space="preserve"> for the student learning experience.</w:t>
      </w:r>
    </w:p>
    <w:p w14:paraId="31A46626" w14:textId="723CA9E4" w:rsidR="008F6188" w:rsidRDefault="008F6188" w:rsidP="008F6188">
      <w:r>
        <w:t xml:space="preserve">A </w:t>
      </w:r>
      <w:r w:rsidR="00D4328E">
        <w:t xml:space="preserve">comprehensive </w:t>
      </w:r>
      <w:r>
        <w:t>timetable is a timetable that includes</w:t>
      </w:r>
    </w:p>
    <w:p w14:paraId="79A2CC05" w14:textId="4536464E" w:rsidR="008F6188" w:rsidRDefault="008F6188" w:rsidP="008F6188">
      <w:pPr>
        <w:pStyle w:val="ListParagraph"/>
        <w:numPr>
          <w:ilvl w:val="0"/>
          <w:numId w:val="12"/>
        </w:numPr>
      </w:pPr>
      <w:r>
        <w:t>All scheduled teaching and learning events associated with all active modules for the full academic year (Semester 1 and Semester 2)</w:t>
      </w:r>
    </w:p>
    <w:p w14:paraId="07E5F339" w14:textId="72C24F24" w:rsidR="008F6188" w:rsidRDefault="008F6188" w:rsidP="008F6188">
      <w:pPr>
        <w:pStyle w:val="ListParagraph"/>
        <w:numPr>
          <w:ilvl w:val="0"/>
          <w:numId w:val="12"/>
        </w:numPr>
      </w:pPr>
      <w:r>
        <w:t>Accurate location details for all events</w:t>
      </w:r>
    </w:p>
    <w:p w14:paraId="5B8AD9C5" w14:textId="62772D2E" w:rsidR="008F6188" w:rsidRDefault="008F6188" w:rsidP="008F6188">
      <w:pPr>
        <w:pStyle w:val="ListParagraph"/>
        <w:numPr>
          <w:ilvl w:val="0"/>
          <w:numId w:val="12"/>
        </w:numPr>
      </w:pPr>
      <w:r>
        <w:t>Accurate lecturer details for all events</w:t>
      </w:r>
    </w:p>
    <w:p w14:paraId="6B47033E" w14:textId="37D3568D" w:rsidR="008F6188" w:rsidRPr="008F6188" w:rsidRDefault="008F6188" w:rsidP="008F6188">
      <w:pPr>
        <w:pStyle w:val="ListParagraph"/>
        <w:numPr>
          <w:ilvl w:val="0"/>
          <w:numId w:val="12"/>
        </w:numPr>
      </w:pPr>
      <w:r>
        <w:t>Accurate event types for all events</w:t>
      </w:r>
    </w:p>
    <w:p w14:paraId="0E65B3AF" w14:textId="4998E5CB" w:rsidR="00BF3075" w:rsidRDefault="00B57506" w:rsidP="00B57506">
      <w:pPr>
        <w:pStyle w:val="Heading3"/>
      </w:pPr>
      <w:r>
        <w:t xml:space="preserve">Objectives </w:t>
      </w:r>
      <w:r w:rsidR="00F8633C">
        <w:t>of Timetabling</w:t>
      </w:r>
    </w:p>
    <w:p w14:paraId="09700D8A" w14:textId="3EA1EF29" w:rsidR="00F8633C" w:rsidRDefault="00B57506" w:rsidP="00F8633C">
      <w:r w:rsidRPr="00B57506">
        <w:t xml:space="preserve">Timetabling </w:t>
      </w:r>
      <w:r w:rsidR="003A642A">
        <w:t xml:space="preserve">practice </w:t>
      </w:r>
      <w:r w:rsidRPr="00B57506">
        <w:t>at the Royal Agricultural University will be designed to meet the following objectives, in order of priority;</w:t>
      </w:r>
    </w:p>
    <w:p w14:paraId="58E3681E" w14:textId="3436080F" w:rsidR="00F8633C" w:rsidRDefault="00F8633C" w:rsidP="00F8633C">
      <w:pPr>
        <w:pStyle w:val="ListParagraph"/>
        <w:numPr>
          <w:ilvl w:val="0"/>
          <w:numId w:val="7"/>
        </w:numPr>
      </w:pPr>
      <w:r>
        <w:t xml:space="preserve">To publish a </w:t>
      </w:r>
      <w:r w:rsidR="00D4328E">
        <w:t xml:space="preserve">comprehensive </w:t>
      </w:r>
      <w:r>
        <w:t xml:space="preserve">timetable to </w:t>
      </w:r>
      <w:r w:rsidR="00D4328E">
        <w:t xml:space="preserve">all </w:t>
      </w:r>
      <w:r>
        <w:t xml:space="preserve">students 6 </w:t>
      </w:r>
      <w:r w:rsidR="008F6188">
        <w:t>weeks</w:t>
      </w:r>
      <w:r>
        <w:t xml:space="preserve"> before the start of the academic year, </w:t>
      </w:r>
      <w:r w:rsidR="00D4328E">
        <w:t xml:space="preserve">with </w:t>
      </w:r>
      <w:r>
        <w:t>confiden</w:t>
      </w:r>
      <w:r w:rsidR="00D4328E">
        <w:t>ce</w:t>
      </w:r>
      <w:r>
        <w:t xml:space="preserve"> </w:t>
      </w:r>
      <w:r w:rsidR="00D4328E">
        <w:t xml:space="preserve">that </w:t>
      </w:r>
      <w:r>
        <w:t>change</w:t>
      </w:r>
      <w:r w:rsidR="00D4328E">
        <w:t>s will not be required</w:t>
      </w:r>
    </w:p>
    <w:p w14:paraId="265FC10C" w14:textId="49D63C80" w:rsidR="00F8633C" w:rsidRDefault="00F8633C" w:rsidP="00F8633C">
      <w:pPr>
        <w:pStyle w:val="ListParagraph"/>
        <w:numPr>
          <w:ilvl w:val="0"/>
          <w:numId w:val="7"/>
        </w:numPr>
      </w:pPr>
      <w:r>
        <w:t>To timetable events as they are detailed in the approved module specification for each module</w:t>
      </w:r>
    </w:p>
    <w:p w14:paraId="380CD6DA" w14:textId="62752BB9" w:rsidR="00F8633C" w:rsidRDefault="00F8633C" w:rsidP="00F8633C">
      <w:pPr>
        <w:pStyle w:val="ListParagraph"/>
        <w:numPr>
          <w:ilvl w:val="0"/>
          <w:numId w:val="7"/>
        </w:numPr>
      </w:pPr>
      <w:r>
        <w:t xml:space="preserve">To accommodate any restrictions </w:t>
      </w:r>
      <w:r w:rsidR="00751EC3">
        <w:t>arising from academic staff contracts</w:t>
      </w:r>
    </w:p>
    <w:p w14:paraId="441B3A23" w14:textId="46A74738" w:rsidR="00751EC3" w:rsidRDefault="00751EC3" w:rsidP="00F8633C">
      <w:pPr>
        <w:pStyle w:val="ListParagraph"/>
        <w:numPr>
          <w:ilvl w:val="0"/>
          <w:numId w:val="7"/>
        </w:numPr>
      </w:pPr>
      <w:r>
        <w:t>To use space efficiently, targeting 70% utilisation in actively timetabled space</w:t>
      </w:r>
    </w:p>
    <w:p w14:paraId="50360E25" w14:textId="7C7F34E5" w:rsidR="00751EC3" w:rsidRDefault="00751EC3" w:rsidP="00F8633C">
      <w:pPr>
        <w:pStyle w:val="ListParagraph"/>
        <w:numPr>
          <w:ilvl w:val="0"/>
          <w:numId w:val="7"/>
        </w:numPr>
      </w:pPr>
      <w:r>
        <w:t>To accommodate restrictions arising for practical or pedagogic reasons</w:t>
      </w:r>
    </w:p>
    <w:p w14:paraId="371D2955" w14:textId="59EECD30" w:rsidR="00751EC3" w:rsidRDefault="00751EC3" w:rsidP="00F8633C">
      <w:pPr>
        <w:pStyle w:val="ListParagraph"/>
        <w:numPr>
          <w:ilvl w:val="0"/>
          <w:numId w:val="7"/>
        </w:numPr>
      </w:pPr>
      <w:r>
        <w:t>To accommodate restrictions arising from academic staff preference</w:t>
      </w:r>
    </w:p>
    <w:p w14:paraId="58E42FB5" w14:textId="0282FA67" w:rsidR="00B57506" w:rsidRDefault="003A642A" w:rsidP="003A642A">
      <w:r>
        <w:t>Where issues arise within timetabling practice, or within the published timetable, solutions will be identified in accordance with these prioritised objectives.</w:t>
      </w:r>
    </w:p>
    <w:p w14:paraId="0247AEB4" w14:textId="4D8DEDAF" w:rsidR="00F8633C" w:rsidRDefault="00751EC3" w:rsidP="00751EC3">
      <w:pPr>
        <w:pStyle w:val="Heading2"/>
      </w:pPr>
      <w:r>
        <w:t>The Academic Calendar</w:t>
      </w:r>
    </w:p>
    <w:p w14:paraId="208808C6" w14:textId="34EA7703" w:rsidR="00751EC3" w:rsidRDefault="00751EC3" w:rsidP="00751EC3">
      <w:r>
        <w:t>The University operates a 52-week calendar (week 0-51). Week 0 begins on the second Monday in September each year.</w:t>
      </w:r>
    </w:p>
    <w:p w14:paraId="2B8F1F8C" w14:textId="77777777" w:rsidR="00EC5B11" w:rsidRDefault="00EC5B11" w:rsidP="00EC5B11">
      <w:pPr>
        <w:pStyle w:val="Heading3"/>
      </w:pPr>
      <w:r>
        <w:t>Academic Terms</w:t>
      </w:r>
    </w:p>
    <w:p w14:paraId="31E37C33" w14:textId="3DFA72F9" w:rsidR="007D6031" w:rsidRDefault="00EC5B11" w:rsidP="00EC5B11">
      <w:r>
        <w:t xml:space="preserve">Teaching, learning and assessment activity is scheduled within three academic terms </w:t>
      </w:r>
      <w:r w:rsidR="003A642A">
        <w:t>plus</w:t>
      </w:r>
      <w:r>
        <w:t xml:space="preserve"> the summer.</w:t>
      </w:r>
      <w:r w:rsidR="007D6031">
        <w:t xml:space="preserve"> </w:t>
      </w:r>
      <w:r>
        <w:t xml:space="preserve">Academic Term dates </w:t>
      </w:r>
      <w:r w:rsidR="007D6031">
        <w:t xml:space="preserve">therefore </w:t>
      </w:r>
      <w:r>
        <w:t xml:space="preserve">determine the periods when students are expected to be engaging in their studies full-time. </w:t>
      </w:r>
    </w:p>
    <w:p w14:paraId="3E2F4169" w14:textId="470E3879" w:rsidR="00EC5B11" w:rsidRDefault="008841E3" w:rsidP="00EC5B11">
      <w:r>
        <w:t>D</w:t>
      </w:r>
      <w:r w:rsidR="00EC5B11">
        <w:t>ates may vary depending on public holidays however typical term dates are:</w:t>
      </w:r>
    </w:p>
    <w:p w14:paraId="4827B44C" w14:textId="5EF8A862" w:rsidR="00EC5B11" w:rsidRDefault="00EC5B11" w:rsidP="00EC5B11">
      <w:pPr>
        <w:pStyle w:val="ListParagraph"/>
        <w:numPr>
          <w:ilvl w:val="0"/>
          <w:numId w:val="8"/>
        </w:numPr>
      </w:pPr>
      <w:r>
        <w:t xml:space="preserve">Autumn Term – Weeks </w:t>
      </w:r>
      <w:r w:rsidR="007D6031">
        <w:t>1</w:t>
      </w:r>
      <w:r>
        <w:t>-13</w:t>
      </w:r>
      <w:r w:rsidR="007D6031">
        <w:t xml:space="preserve"> (13 weeks)</w:t>
      </w:r>
    </w:p>
    <w:p w14:paraId="6F785DBF" w14:textId="30D6F23B" w:rsidR="00EC5B11" w:rsidRDefault="00EC5B11" w:rsidP="00EC5B11">
      <w:pPr>
        <w:pStyle w:val="ListParagraph"/>
        <w:numPr>
          <w:ilvl w:val="0"/>
          <w:numId w:val="8"/>
        </w:numPr>
      </w:pPr>
      <w:r>
        <w:t>Spring Term – weeks 17-2</w:t>
      </w:r>
      <w:r w:rsidR="007D6031">
        <w:t>8 (12 weeks)</w:t>
      </w:r>
    </w:p>
    <w:p w14:paraId="3AFD73AB" w14:textId="263DAC2A" w:rsidR="00EC5B11" w:rsidRDefault="00EC5B11" w:rsidP="00EC5B11">
      <w:pPr>
        <w:pStyle w:val="ListParagraph"/>
        <w:numPr>
          <w:ilvl w:val="0"/>
          <w:numId w:val="8"/>
        </w:numPr>
      </w:pPr>
      <w:r>
        <w:lastRenderedPageBreak/>
        <w:t>Summer</w:t>
      </w:r>
      <w:r w:rsidR="007D6031">
        <w:t xml:space="preserve"> Term – weeks 31-36 (6 weeks)</w:t>
      </w:r>
    </w:p>
    <w:p w14:paraId="270283CD" w14:textId="0F882AC6" w:rsidR="007D6031" w:rsidRDefault="007D6031" w:rsidP="00EC5B11">
      <w:pPr>
        <w:pStyle w:val="ListParagraph"/>
        <w:numPr>
          <w:ilvl w:val="0"/>
          <w:numId w:val="8"/>
        </w:numPr>
      </w:pPr>
      <w:r>
        <w:t>Summer – Weeks 37-51 (15 weeks)</w:t>
      </w:r>
    </w:p>
    <w:p w14:paraId="75DDAA9E" w14:textId="764653EE" w:rsidR="007D6031" w:rsidRDefault="007D6031" w:rsidP="007D6031">
      <w:r>
        <w:t>Teaching, learning and assessment activity will not be scheduled</w:t>
      </w:r>
      <w:r w:rsidR="003A642A">
        <w:t xml:space="preserve"> </w:t>
      </w:r>
      <w:r>
        <w:t xml:space="preserve">outside of term </w:t>
      </w:r>
      <w:r w:rsidR="003A642A">
        <w:t>dates</w:t>
      </w:r>
      <w:r>
        <w:t>. Dates may vary depending on public holidays however typical dates are:</w:t>
      </w:r>
    </w:p>
    <w:p w14:paraId="2EF74B44" w14:textId="114E2964" w:rsidR="007D6031" w:rsidRDefault="007D6031" w:rsidP="007D6031">
      <w:pPr>
        <w:pStyle w:val="ListParagraph"/>
        <w:numPr>
          <w:ilvl w:val="0"/>
          <w:numId w:val="9"/>
        </w:numPr>
      </w:pPr>
      <w:r>
        <w:t>Christmas – weeks 14-16 (3 weeks)</w:t>
      </w:r>
    </w:p>
    <w:p w14:paraId="3BB1DE63" w14:textId="302B9AC5" w:rsidR="007D6031" w:rsidRDefault="007D6031" w:rsidP="007D6031">
      <w:pPr>
        <w:pStyle w:val="ListParagraph"/>
        <w:numPr>
          <w:ilvl w:val="0"/>
          <w:numId w:val="9"/>
        </w:numPr>
      </w:pPr>
      <w:r>
        <w:t>Easter – weeks 29-30 (2 weeks)</w:t>
      </w:r>
    </w:p>
    <w:p w14:paraId="13DD572E" w14:textId="17D38A56" w:rsidR="007D6031" w:rsidRDefault="007D6031" w:rsidP="007D6031">
      <w:pPr>
        <w:pStyle w:val="ListParagraph"/>
        <w:numPr>
          <w:ilvl w:val="0"/>
          <w:numId w:val="9"/>
        </w:numPr>
      </w:pPr>
      <w:r>
        <w:t>Induction – week 0 (1 week)</w:t>
      </w:r>
    </w:p>
    <w:p w14:paraId="296ED3FE" w14:textId="35AE55F9" w:rsidR="007D6031" w:rsidRDefault="007D6031" w:rsidP="007D6031">
      <w:r>
        <w:t>An undergraduate programme, running over three terms</w:t>
      </w:r>
      <w:r w:rsidR="003A642A">
        <w:t>,</w:t>
      </w:r>
      <w:r>
        <w:t xml:space="preserve"> will include 31 weeks of scheduled learning, teaching and assessment activity.</w:t>
      </w:r>
    </w:p>
    <w:p w14:paraId="6CADD217" w14:textId="7C24FD0E" w:rsidR="007D6031" w:rsidRPr="00751EC3" w:rsidRDefault="007D6031" w:rsidP="007D6031">
      <w:r>
        <w:t xml:space="preserve">A postgraduate programme, running over </w:t>
      </w:r>
      <w:r w:rsidR="003A642A">
        <w:t xml:space="preserve">three </w:t>
      </w:r>
      <w:r>
        <w:t xml:space="preserve">terms </w:t>
      </w:r>
      <w:r w:rsidR="003A642A">
        <w:t xml:space="preserve">plus the summer, </w:t>
      </w:r>
      <w:r>
        <w:t>will include 46 weeks of scheduled learning, teaching and assessment activity.</w:t>
      </w:r>
    </w:p>
    <w:p w14:paraId="219F4CE1" w14:textId="5408D01D" w:rsidR="00751EC3" w:rsidRDefault="00751EC3" w:rsidP="00751EC3">
      <w:pPr>
        <w:pStyle w:val="Heading3"/>
      </w:pPr>
      <w:r>
        <w:t>Semesters</w:t>
      </w:r>
    </w:p>
    <w:p w14:paraId="0A6EF4AA" w14:textId="77777777" w:rsidR="008841E3" w:rsidRDefault="00751EC3" w:rsidP="00751EC3">
      <w:r>
        <w:t>Learning, teaching and assessment activity is divided into two equal semesters.</w:t>
      </w:r>
      <w:r w:rsidR="00EC5B11">
        <w:t xml:space="preserve"> </w:t>
      </w:r>
      <w:r w:rsidR="008841E3">
        <w:t>Semester dates therefore determine when individual modules will be delivered and assessed.</w:t>
      </w:r>
    </w:p>
    <w:p w14:paraId="270CDBB7" w14:textId="7E9CC8C7" w:rsidR="008841E3" w:rsidRDefault="008841E3" w:rsidP="00751EC3">
      <w:r>
        <w:t xml:space="preserve">Semester 1 lasts for 15 weeks (excluding </w:t>
      </w:r>
      <w:r w:rsidR="003A642A">
        <w:t>‘Welcome Week’ activities</w:t>
      </w:r>
      <w:r>
        <w:t>) and Semester 2 lasts for 16 weeks (including end-of-year activities)</w:t>
      </w:r>
      <w:r w:rsidR="00EC5B11">
        <w:t>.</w:t>
      </w:r>
    </w:p>
    <w:p w14:paraId="41F3D117" w14:textId="7E9EA42A" w:rsidR="00751EC3" w:rsidRDefault="008841E3" w:rsidP="00751EC3">
      <w:r>
        <w:t>Dates may vary depending on public holidays however typical semester dates are:</w:t>
      </w:r>
    </w:p>
    <w:p w14:paraId="1F0CA7A2" w14:textId="3355CA15" w:rsidR="008841E3" w:rsidRDefault="008841E3" w:rsidP="008841E3">
      <w:pPr>
        <w:pStyle w:val="ListParagraph"/>
        <w:numPr>
          <w:ilvl w:val="0"/>
          <w:numId w:val="10"/>
        </w:numPr>
      </w:pPr>
      <w:r>
        <w:t>Semester 1 – weeks 1-13 and weeks 17-18 (15 weeks)</w:t>
      </w:r>
    </w:p>
    <w:p w14:paraId="7D364FDB" w14:textId="4F052FA2" w:rsidR="008841E3" w:rsidRDefault="008841E3" w:rsidP="008841E3">
      <w:pPr>
        <w:pStyle w:val="ListParagraph"/>
        <w:numPr>
          <w:ilvl w:val="0"/>
          <w:numId w:val="10"/>
        </w:numPr>
      </w:pPr>
      <w:r>
        <w:t>Semester 2 – weeks 19-28 and weeks 31-36 (16 weeks)</w:t>
      </w:r>
    </w:p>
    <w:p w14:paraId="15013917" w14:textId="5E234D48" w:rsidR="008841E3" w:rsidRDefault="008841E3" w:rsidP="008841E3">
      <w:pPr>
        <w:pStyle w:val="Heading3"/>
      </w:pPr>
      <w:r>
        <w:t>The Teaching Week</w:t>
      </w:r>
    </w:p>
    <w:p w14:paraId="0B589A00" w14:textId="061F2176" w:rsidR="008841E3" w:rsidRDefault="00AF211F" w:rsidP="008841E3">
      <w:r>
        <w:t>The standard teaching week runs from 09:00-17:00 Monday to Friday, except on Wednesdays as follows:</w:t>
      </w:r>
    </w:p>
    <w:p w14:paraId="73535B85" w14:textId="1EA5F917" w:rsidR="00AF211F" w:rsidRDefault="00AF211F" w:rsidP="00AF211F">
      <w:pPr>
        <w:pStyle w:val="ListParagraph"/>
        <w:numPr>
          <w:ilvl w:val="0"/>
          <w:numId w:val="11"/>
        </w:numPr>
      </w:pPr>
      <w:r>
        <w:t>Monday 09:00-17:00</w:t>
      </w:r>
    </w:p>
    <w:p w14:paraId="6051BB33" w14:textId="6BFDC3E8" w:rsidR="00AF211F" w:rsidRDefault="00AF211F" w:rsidP="00AF211F">
      <w:pPr>
        <w:pStyle w:val="ListParagraph"/>
        <w:numPr>
          <w:ilvl w:val="0"/>
          <w:numId w:val="11"/>
        </w:numPr>
      </w:pPr>
      <w:r>
        <w:t>Tuesday 09:00-17:00</w:t>
      </w:r>
    </w:p>
    <w:p w14:paraId="015179EB" w14:textId="5ADF90A4" w:rsidR="00AF211F" w:rsidRDefault="00AF211F" w:rsidP="00AF211F">
      <w:pPr>
        <w:pStyle w:val="ListParagraph"/>
        <w:numPr>
          <w:ilvl w:val="0"/>
          <w:numId w:val="11"/>
        </w:numPr>
      </w:pPr>
      <w:r>
        <w:t>Wednesday 09:00-13:00</w:t>
      </w:r>
    </w:p>
    <w:p w14:paraId="4CD85D83" w14:textId="2C48EFA5" w:rsidR="00AF211F" w:rsidRDefault="00AF211F" w:rsidP="00AF211F">
      <w:pPr>
        <w:pStyle w:val="ListParagraph"/>
        <w:numPr>
          <w:ilvl w:val="0"/>
          <w:numId w:val="11"/>
        </w:numPr>
      </w:pPr>
      <w:r>
        <w:t>Thursday 09:00-17:00</w:t>
      </w:r>
    </w:p>
    <w:p w14:paraId="051E5CD2" w14:textId="221540EB" w:rsidR="00AF211F" w:rsidRDefault="00AF211F" w:rsidP="00AF211F">
      <w:pPr>
        <w:pStyle w:val="ListParagraph"/>
        <w:numPr>
          <w:ilvl w:val="0"/>
          <w:numId w:val="11"/>
        </w:numPr>
      </w:pPr>
      <w:r>
        <w:t>Friday 09:00-17:00</w:t>
      </w:r>
    </w:p>
    <w:p w14:paraId="246841C7" w14:textId="16DD0C18" w:rsidR="003A642A" w:rsidRDefault="00FB3AE1" w:rsidP="003A642A">
      <w:r>
        <w:t xml:space="preserve">Where possible, and only in accordance with the prioritised objectives above, </w:t>
      </w:r>
      <w:r w:rsidR="003A642A">
        <w:t>teaching will be avoided</w:t>
      </w:r>
      <w:r>
        <w:t xml:space="preserve"> before 10:00 on Monday and Thursday each week, in response to student feedback.</w:t>
      </w:r>
    </w:p>
    <w:p w14:paraId="52909E35" w14:textId="348919CC" w:rsidR="003A642A" w:rsidRDefault="003A642A" w:rsidP="003A642A">
      <w:pPr>
        <w:pStyle w:val="Heading3"/>
      </w:pPr>
      <w:r w:rsidRPr="003A642A">
        <w:t>The Teaching Day</w:t>
      </w:r>
    </w:p>
    <w:p w14:paraId="34C0B5B7" w14:textId="65679A20" w:rsidR="003A642A" w:rsidRDefault="003A642A" w:rsidP="003A642A">
      <w:r>
        <w:t>Teaching events will be scheduled to start on the hour, and should finish 10 minutes before the hour to allow students to move onto their next teaching event, and to allow lecturers to prepare for the next session.</w:t>
      </w:r>
    </w:p>
    <w:p w14:paraId="5C7EA567" w14:textId="307F398F" w:rsidR="003A642A" w:rsidRDefault="003A642A" w:rsidP="003A642A">
      <w:r>
        <w:lastRenderedPageBreak/>
        <w:t>No student, or lecturer will have more than four consecutive hours of timetabled activity without a break.</w:t>
      </w:r>
    </w:p>
    <w:p w14:paraId="1BCFF885" w14:textId="15551D76" w:rsidR="003A642A" w:rsidRDefault="003A642A" w:rsidP="003A642A">
      <w:r>
        <w:t>All students and lecturers will have a one-hour lunch period between 12:00 and 14:00 every day</w:t>
      </w:r>
      <w:r w:rsidR="00FB3AE1">
        <w:t>.</w:t>
      </w:r>
    </w:p>
    <w:p w14:paraId="7D57FC0C" w14:textId="1E9F2E88" w:rsidR="00487A48" w:rsidRDefault="00487A48" w:rsidP="003A642A">
      <w:r>
        <w:t>Where a bank holiday occurs during term, teaching events will be rescheduled to an alterative day in that week.</w:t>
      </w:r>
    </w:p>
    <w:p w14:paraId="5BC8D42C" w14:textId="00BBECA1" w:rsidR="00487A48" w:rsidRDefault="00487A48" w:rsidP="003A642A">
      <w:r>
        <w:t>Teaching activity in the Laboratory block will be scheduled between 10:00 and 16:00 each day to include a minimum one-hour gap between each scheduled session.</w:t>
      </w:r>
    </w:p>
    <w:p w14:paraId="44719F8D" w14:textId="09C0CF6B" w:rsidR="00183510" w:rsidRDefault="00183510" w:rsidP="003A642A">
      <w:r>
        <w:t xml:space="preserve">Timetabled activity across multiple sites within a single day will be minimised where ever possible, however, where a student, or lecturer has teaching split across multiple sites (including </w:t>
      </w:r>
      <w:proofErr w:type="spellStart"/>
      <w:r>
        <w:t>Harnhill</w:t>
      </w:r>
      <w:proofErr w:type="spellEnd"/>
      <w:r>
        <w:t xml:space="preserve"> Farm and the RAU Equestrian Centre) reasonable travel time will be incorporated).</w:t>
      </w:r>
    </w:p>
    <w:p w14:paraId="006F70E6" w14:textId="4A746126" w:rsidR="00AB3CDD" w:rsidRDefault="00AB3CDD" w:rsidP="00716429">
      <w:pPr>
        <w:pStyle w:val="Heading2"/>
      </w:pPr>
      <w:r>
        <w:t>Teaching Space</w:t>
      </w:r>
    </w:p>
    <w:p w14:paraId="5C6E0F62" w14:textId="54F7F74C" w:rsidR="008F6188" w:rsidRPr="00215A81" w:rsidRDefault="00FB3AE1" w:rsidP="008F6188">
      <w:r w:rsidRPr="00215A81">
        <w:t>Timetabled activity will take place in designated teaching spaces.</w:t>
      </w:r>
    </w:p>
    <w:p w14:paraId="47D6FE25" w14:textId="763079D7" w:rsidR="00FB3AE1" w:rsidRDefault="00FB3AE1" w:rsidP="008F6188">
      <w:r>
        <w:t>In order to achieve an efficient use of space, the timetable will endeavour to use the minimum number of rooms possible, targeting 70% utilisation in actively timetabled space.</w:t>
      </w:r>
    </w:p>
    <w:p w14:paraId="2CB967AE" w14:textId="77777777" w:rsidR="00215A81" w:rsidRDefault="00FB3AE1" w:rsidP="008F6188">
      <w:r>
        <w:t>Actively timetabled space will be determined each year, based on timetabling requirements and the University’s Estates Plan.</w:t>
      </w:r>
      <w:r w:rsidR="00215A81">
        <w:t xml:space="preserve"> </w:t>
      </w:r>
    </w:p>
    <w:p w14:paraId="77400205" w14:textId="251CFD02" w:rsidR="00FB3AE1" w:rsidRDefault="00215A81" w:rsidP="008F6188">
      <w:r>
        <w:t xml:space="preserve">Commercial events will not be scheduled in actively timetabled space without the prior permission of the Director of Academic Services. However, any teaching space </w:t>
      </w:r>
      <w:r w:rsidR="00FB3AE1">
        <w:t>which</w:t>
      </w:r>
      <w:r>
        <w:t xml:space="preserve"> is </w:t>
      </w:r>
      <w:r w:rsidR="00FB3AE1">
        <w:t xml:space="preserve">not </w:t>
      </w:r>
      <w:r>
        <w:t xml:space="preserve">considered </w:t>
      </w:r>
      <w:r w:rsidR="00FB3AE1">
        <w:t xml:space="preserve">actively timetabled </w:t>
      </w:r>
      <w:r>
        <w:t xml:space="preserve">space for a given academic year, </w:t>
      </w:r>
      <w:r w:rsidR="00FB3AE1">
        <w:t xml:space="preserve">will be made available for commercial use. </w:t>
      </w:r>
    </w:p>
    <w:p w14:paraId="6423066C" w14:textId="05C06779" w:rsidR="00215A81" w:rsidRDefault="00215A81" w:rsidP="008F6188">
      <w:r>
        <w:t>The following spaces are designated teaching spaces;</w:t>
      </w:r>
    </w:p>
    <w:p w14:paraId="3478E1DC" w14:textId="54B82E43" w:rsidR="00176D0D" w:rsidRPr="008F6188" w:rsidRDefault="00176D0D" w:rsidP="008F6188">
      <w:r>
        <w:t>[</w:t>
      </w:r>
      <w:r w:rsidRPr="00176D0D">
        <w:rPr>
          <w:highlight w:val="yellow"/>
        </w:rPr>
        <w:t>Table to be finalised</w:t>
      </w:r>
      <w:r>
        <w:t>]</w:t>
      </w:r>
    </w:p>
    <w:tbl>
      <w:tblPr>
        <w:tblStyle w:val="TableGrid"/>
        <w:tblW w:w="0" w:type="auto"/>
        <w:tblLook w:val="04A0" w:firstRow="1" w:lastRow="0" w:firstColumn="1" w:lastColumn="0" w:noHBand="0" w:noVBand="1"/>
      </w:tblPr>
      <w:tblGrid>
        <w:gridCol w:w="2254"/>
        <w:gridCol w:w="2254"/>
        <w:gridCol w:w="2254"/>
        <w:gridCol w:w="2254"/>
      </w:tblGrid>
      <w:tr w:rsidR="00AB3CDD" w14:paraId="3E5143A3" w14:textId="77777777" w:rsidTr="00AB3CDD">
        <w:tc>
          <w:tcPr>
            <w:tcW w:w="2254" w:type="dxa"/>
            <w:shd w:val="clear" w:color="auto" w:fill="D0CECE" w:themeFill="background2" w:themeFillShade="E6"/>
            <w:vAlign w:val="center"/>
          </w:tcPr>
          <w:p w14:paraId="669198DE" w14:textId="08B1C854" w:rsidR="00AB3CDD" w:rsidRDefault="00AB3CDD" w:rsidP="00AB3CDD">
            <w:r>
              <w:t>Room</w:t>
            </w:r>
          </w:p>
        </w:tc>
        <w:tc>
          <w:tcPr>
            <w:tcW w:w="2254" w:type="dxa"/>
            <w:shd w:val="clear" w:color="auto" w:fill="D0CECE" w:themeFill="background2" w:themeFillShade="E6"/>
            <w:vAlign w:val="center"/>
          </w:tcPr>
          <w:p w14:paraId="7AA2682B" w14:textId="4BCF1234" w:rsidR="00AB3CDD" w:rsidRDefault="00AB3CDD" w:rsidP="00AB3CDD">
            <w:r>
              <w:t>Building</w:t>
            </w:r>
          </w:p>
        </w:tc>
        <w:tc>
          <w:tcPr>
            <w:tcW w:w="2254" w:type="dxa"/>
            <w:shd w:val="clear" w:color="auto" w:fill="D0CECE" w:themeFill="background2" w:themeFillShade="E6"/>
            <w:vAlign w:val="center"/>
          </w:tcPr>
          <w:p w14:paraId="43832C90" w14:textId="15CB4E3A" w:rsidR="00AB3CDD" w:rsidRDefault="00AB3CDD" w:rsidP="00AB3CDD">
            <w:r>
              <w:t>Campus</w:t>
            </w:r>
          </w:p>
        </w:tc>
        <w:tc>
          <w:tcPr>
            <w:tcW w:w="2254" w:type="dxa"/>
            <w:shd w:val="clear" w:color="auto" w:fill="D0CECE" w:themeFill="background2" w:themeFillShade="E6"/>
            <w:vAlign w:val="center"/>
          </w:tcPr>
          <w:p w14:paraId="1A515C5E" w14:textId="37B88744" w:rsidR="00AB3CDD" w:rsidRDefault="00AB3CDD" w:rsidP="00AB3CDD">
            <w:r>
              <w:t>Room type and Layout</w:t>
            </w:r>
          </w:p>
        </w:tc>
      </w:tr>
      <w:tr w:rsidR="00AB3CDD" w14:paraId="2CE11229" w14:textId="77777777" w:rsidTr="00176D0D">
        <w:tc>
          <w:tcPr>
            <w:tcW w:w="2254" w:type="dxa"/>
            <w:shd w:val="clear" w:color="auto" w:fill="auto"/>
            <w:vAlign w:val="center"/>
          </w:tcPr>
          <w:p w14:paraId="5C4946B5" w14:textId="77777777" w:rsidR="00AB3CDD" w:rsidRDefault="00AB3CDD" w:rsidP="00AB3CDD">
            <w:r>
              <w:t>EJ01</w:t>
            </w:r>
          </w:p>
        </w:tc>
        <w:tc>
          <w:tcPr>
            <w:tcW w:w="2254" w:type="dxa"/>
            <w:shd w:val="clear" w:color="auto" w:fill="auto"/>
            <w:vAlign w:val="center"/>
          </w:tcPr>
          <w:p w14:paraId="022A7CE0" w14:textId="77777777" w:rsidR="00AB3CDD" w:rsidRDefault="00AB3CDD" w:rsidP="00AB3CDD">
            <w:r>
              <w:t>Emrys Jones</w:t>
            </w:r>
          </w:p>
        </w:tc>
        <w:tc>
          <w:tcPr>
            <w:tcW w:w="2254" w:type="dxa"/>
            <w:shd w:val="clear" w:color="auto" w:fill="auto"/>
            <w:vAlign w:val="center"/>
          </w:tcPr>
          <w:p w14:paraId="33055F2A" w14:textId="77777777" w:rsidR="00AB3CDD" w:rsidRDefault="00AB3CDD" w:rsidP="00AB3CDD">
            <w:r>
              <w:t>Cirencester</w:t>
            </w:r>
          </w:p>
        </w:tc>
        <w:tc>
          <w:tcPr>
            <w:tcW w:w="2254" w:type="dxa"/>
            <w:shd w:val="clear" w:color="auto" w:fill="auto"/>
            <w:vAlign w:val="center"/>
          </w:tcPr>
          <w:p w14:paraId="7020942A" w14:textId="51C74FC6" w:rsidR="00AB3CDD" w:rsidRDefault="00AB3CDD" w:rsidP="00AB3CDD"/>
        </w:tc>
      </w:tr>
      <w:tr w:rsidR="00AB3CDD" w14:paraId="5E482D3F" w14:textId="77777777" w:rsidTr="00176D0D">
        <w:tc>
          <w:tcPr>
            <w:tcW w:w="2254" w:type="dxa"/>
            <w:shd w:val="clear" w:color="auto" w:fill="auto"/>
            <w:vAlign w:val="center"/>
          </w:tcPr>
          <w:p w14:paraId="51826EF5" w14:textId="77777777" w:rsidR="00AB3CDD" w:rsidRDefault="00AB3CDD" w:rsidP="00AB3CDD">
            <w:r>
              <w:t>EJ03</w:t>
            </w:r>
          </w:p>
        </w:tc>
        <w:tc>
          <w:tcPr>
            <w:tcW w:w="2254" w:type="dxa"/>
            <w:shd w:val="clear" w:color="auto" w:fill="auto"/>
            <w:vAlign w:val="center"/>
          </w:tcPr>
          <w:p w14:paraId="13E79276" w14:textId="77777777" w:rsidR="00AB3CDD" w:rsidRDefault="00AB3CDD" w:rsidP="00AB3CDD">
            <w:r>
              <w:t>Emrys Jones</w:t>
            </w:r>
          </w:p>
        </w:tc>
        <w:tc>
          <w:tcPr>
            <w:tcW w:w="2254" w:type="dxa"/>
            <w:shd w:val="clear" w:color="auto" w:fill="auto"/>
            <w:vAlign w:val="center"/>
          </w:tcPr>
          <w:p w14:paraId="35EA6A19" w14:textId="77777777" w:rsidR="00AB3CDD" w:rsidRDefault="00AB3CDD" w:rsidP="00AB3CDD">
            <w:r>
              <w:t>Cirencester</w:t>
            </w:r>
          </w:p>
        </w:tc>
        <w:tc>
          <w:tcPr>
            <w:tcW w:w="2254" w:type="dxa"/>
            <w:shd w:val="clear" w:color="auto" w:fill="auto"/>
            <w:vAlign w:val="center"/>
          </w:tcPr>
          <w:p w14:paraId="7CF50184" w14:textId="1CFD0A08" w:rsidR="00AB3CDD" w:rsidRDefault="00AB3CDD" w:rsidP="00AB3CDD"/>
        </w:tc>
      </w:tr>
      <w:tr w:rsidR="00AB3CDD" w14:paraId="1C64CC4E" w14:textId="77777777" w:rsidTr="00176D0D">
        <w:tc>
          <w:tcPr>
            <w:tcW w:w="2254" w:type="dxa"/>
            <w:shd w:val="clear" w:color="auto" w:fill="auto"/>
            <w:vAlign w:val="center"/>
          </w:tcPr>
          <w:p w14:paraId="11FCB350" w14:textId="77777777" w:rsidR="00AB3CDD" w:rsidRDefault="00AB3CDD" w:rsidP="00AB3CDD">
            <w:r>
              <w:t>EJ06</w:t>
            </w:r>
          </w:p>
        </w:tc>
        <w:tc>
          <w:tcPr>
            <w:tcW w:w="2254" w:type="dxa"/>
            <w:shd w:val="clear" w:color="auto" w:fill="auto"/>
            <w:vAlign w:val="center"/>
          </w:tcPr>
          <w:p w14:paraId="2677CD58" w14:textId="77777777" w:rsidR="00AB3CDD" w:rsidRDefault="00AB3CDD" w:rsidP="00AB3CDD">
            <w:r>
              <w:t>Emrys Jones</w:t>
            </w:r>
          </w:p>
        </w:tc>
        <w:tc>
          <w:tcPr>
            <w:tcW w:w="2254" w:type="dxa"/>
            <w:shd w:val="clear" w:color="auto" w:fill="auto"/>
            <w:vAlign w:val="center"/>
          </w:tcPr>
          <w:p w14:paraId="5D0D752B" w14:textId="77777777" w:rsidR="00AB3CDD" w:rsidRDefault="00AB3CDD" w:rsidP="00AB3CDD">
            <w:r>
              <w:t>Cirencester</w:t>
            </w:r>
          </w:p>
        </w:tc>
        <w:tc>
          <w:tcPr>
            <w:tcW w:w="2254" w:type="dxa"/>
            <w:shd w:val="clear" w:color="auto" w:fill="auto"/>
            <w:vAlign w:val="center"/>
          </w:tcPr>
          <w:p w14:paraId="6854E868" w14:textId="32769605" w:rsidR="00AB3CDD" w:rsidRDefault="00AB3CDD" w:rsidP="00AB3CDD"/>
        </w:tc>
      </w:tr>
      <w:tr w:rsidR="00AB3CDD" w14:paraId="58C4D975" w14:textId="77777777" w:rsidTr="00176D0D">
        <w:tc>
          <w:tcPr>
            <w:tcW w:w="2254" w:type="dxa"/>
            <w:shd w:val="clear" w:color="auto" w:fill="auto"/>
            <w:vAlign w:val="center"/>
          </w:tcPr>
          <w:p w14:paraId="61FE7CBD" w14:textId="77777777" w:rsidR="00AB3CDD" w:rsidRDefault="00AB3CDD" w:rsidP="00AB3CDD">
            <w:r>
              <w:t>EJ07</w:t>
            </w:r>
          </w:p>
        </w:tc>
        <w:tc>
          <w:tcPr>
            <w:tcW w:w="2254" w:type="dxa"/>
            <w:shd w:val="clear" w:color="auto" w:fill="auto"/>
            <w:vAlign w:val="center"/>
          </w:tcPr>
          <w:p w14:paraId="7B044589" w14:textId="77777777" w:rsidR="00AB3CDD" w:rsidRDefault="00AB3CDD" w:rsidP="00AB3CDD">
            <w:r>
              <w:t>Emrys Jones</w:t>
            </w:r>
          </w:p>
        </w:tc>
        <w:tc>
          <w:tcPr>
            <w:tcW w:w="2254" w:type="dxa"/>
            <w:shd w:val="clear" w:color="auto" w:fill="auto"/>
            <w:vAlign w:val="center"/>
          </w:tcPr>
          <w:p w14:paraId="6DEC81AB" w14:textId="77777777" w:rsidR="00AB3CDD" w:rsidRDefault="00AB3CDD" w:rsidP="00AB3CDD">
            <w:r>
              <w:t>Cirencester</w:t>
            </w:r>
          </w:p>
        </w:tc>
        <w:tc>
          <w:tcPr>
            <w:tcW w:w="2254" w:type="dxa"/>
            <w:shd w:val="clear" w:color="auto" w:fill="auto"/>
            <w:vAlign w:val="center"/>
          </w:tcPr>
          <w:p w14:paraId="2537625A" w14:textId="0A6611BD" w:rsidR="00AB3CDD" w:rsidRDefault="00AB3CDD" w:rsidP="00AB3CDD"/>
        </w:tc>
      </w:tr>
      <w:tr w:rsidR="00AB3CDD" w14:paraId="5768C0A7" w14:textId="77777777" w:rsidTr="00176D0D">
        <w:tc>
          <w:tcPr>
            <w:tcW w:w="2254" w:type="dxa"/>
            <w:shd w:val="clear" w:color="auto" w:fill="auto"/>
            <w:vAlign w:val="center"/>
          </w:tcPr>
          <w:p w14:paraId="12D73147" w14:textId="77777777" w:rsidR="00AB3CDD" w:rsidRDefault="00AB3CDD" w:rsidP="00AB3CDD">
            <w:r>
              <w:t>EJ09</w:t>
            </w:r>
          </w:p>
        </w:tc>
        <w:tc>
          <w:tcPr>
            <w:tcW w:w="2254" w:type="dxa"/>
            <w:shd w:val="clear" w:color="auto" w:fill="auto"/>
            <w:vAlign w:val="center"/>
          </w:tcPr>
          <w:p w14:paraId="648A271D" w14:textId="77777777" w:rsidR="00AB3CDD" w:rsidRDefault="00AB3CDD" w:rsidP="00AB3CDD">
            <w:r>
              <w:t>Emrys Jones</w:t>
            </w:r>
          </w:p>
        </w:tc>
        <w:tc>
          <w:tcPr>
            <w:tcW w:w="2254" w:type="dxa"/>
            <w:shd w:val="clear" w:color="auto" w:fill="auto"/>
            <w:vAlign w:val="center"/>
          </w:tcPr>
          <w:p w14:paraId="230B77D3" w14:textId="77777777" w:rsidR="00AB3CDD" w:rsidRDefault="00AB3CDD" w:rsidP="00AB3CDD">
            <w:r>
              <w:t>Cirencester</w:t>
            </w:r>
          </w:p>
        </w:tc>
        <w:tc>
          <w:tcPr>
            <w:tcW w:w="2254" w:type="dxa"/>
            <w:shd w:val="clear" w:color="auto" w:fill="auto"/>
            <w:vAlign w:val="center"/>
          </w:tcPr>
          <w:p w14:paraId="0A00AFE6" w14:textId="08C343EC" w:rsidR="00AB3CDD" w:rsidRDefault="00AB3CDD" w:rsidP="00AB3CDD"/>
        </w:tc>
      </w:tr>
      <w:tr w:rsidR="00AB3CDD" w14:paraId="4C4CE823" w14:textId="77777777" w:rsidTr="00176D0D">
        <w:tc>
          <w:tcPr>
            <w:tcW w:w="2254" w:type="dxa"/>
            <w:shd w:val="clear" w:color="auto" w:fill="auto"/>
            <w:vAlign w:val="center"/>
          </w:tcPr>
          <w:p w14:paraId="68B3A60D" w14:textId="77777777" w:rsidR="00AB3CDD" w:rsidRDefault="00AB3CDD" w:rsidP="00AB3CDD">
            <w:r>
              <w:t>EJ10</w:t>
            </w:r>
          </w:p>
        </w:tc>
        <w:tc>
          <w:tcPr>
            <w:tcW w:w="2254" w:type="dxa"/>
            <w:shd w:val="clear" w:color="auto" w:fill="auto"/>
            <w:vAlign w:val="center"/>
          </w:tcPr>
          <w:p w14:paraId="4EF62354" w14:textId="77777777" w:rsidR="00AB3CDD" w:rsidRDefault="00AB3CDD" w:rsidP="00AB3CDD">
            <w:r>
              <w:t>Emrys Jones</w:t>
            </w:r>
          </w:p>
        </w:tc>
        <w:tc>
          <w:tcPr>
            <w:tcW w:w="2254" w:type="dxa"/>
            <w:shd w:val="clear" w:color="auto" w:fill="auto"/>
            <w:vAlign w:val="center"/>
          </w:tcPr>
          <w:p w14:paraId="53B628DA" w14:textId="77777777" w:rsidR="00AB3CDD" w:rsidRDefault="00AB3CDD" w:rsidP="00AB3CDD">
            <w:r>
              <w:t>Cirencester</w:t>
            </w:r>
          </w:p>
        </w:tc>
        <w:tc>
          <w:tcPr>
            <w:tcW w:w="2254" w:type="dxa"/>
            <w:shd w:val="clear" w:color="auto" w:fill="auto"/>
            <w:vAlign w:val="center"/>
          </w:tcPr>
          <w:p w14:paraId="0E4A1D26" w14:textId="46117A6B" w:rsidR="00AB3CDD" w:rsidRDefault="00AB3CDD" w:rsidP="00AB3CDD"/>
        </w:tc>
      </w:tr>
      <w:tr w:rsidR="00AB3CDD" w14:paraId="0BBFFF56" w14:textId="77777777" w:rsidTr="00176D0D">
        <w:tc>
          <w:tcPr>
            <w:tcW w:w="2254" w:type="dxa"/>
            <w:shd w:val="clear" w:color="auto" w:fill="auto"/>
            <w:vAlign w:val="center"/>
          </w:tcPr>
          <w:p w14:paraId="3D725C6F" w14:textId="77777777" w:rsidR="00AB3CDD" w:rsidRDefault="00AB3CDD" w:rsidP="00AB3CDD">
            <w:r>
              <w:t>EJ12</w:t>
            </w:r>
          </w:p>
        </w:tc>
        <w:tc>
          <w:tcPr>
            <w:tcW w:w="2254" w:type="dxa"/>
            <w:shd w:val="clear" w:color="auto" w:fill="auto"/>
            <w:vAlign w:val="center"/>
          </w:tcPr>
          <w:p w14:paraId="6750E05E" w14:textId="77777777" w:rsidR="00AB3CDD" w:rsidRDefault="00AB3CDD" w:rsidP="00AB3CDD">
            <w:r>
              <w:t>Emrys Jones</w:t>
            </w:r>
          </w:p>
        </w:tc>
        <w:tc>
          <w:tcPr>
            <w:tcW w:w="2254" w:type="dxa"/>
            <w:shd w:val="clear" w:color="auto" w:fill="auto"/>
            <w:vAlign w:val="center"/>
          </w:tcPr>
          <w:p w14:paraId="24BC7262" w14:textId="77777777" w:rsidR="00AB3CDD" w:rsidRDefault="00AB3CDD" w:rsidP="00AB3CDD">
            <w:r>
              <w:t>Cirencester</w:t>
            </w:r>
          </w:p>
        </w:tc>
        <w:tc>
          <w:tcPr>
            <w:tcW w:w="2254" w:type="dxa"/>
            <w:shd w:val="clear" w:color="auto" w:fill="auto"/>
            <w:vAlign w:val="center"/>
          </w:tcPr>
          <w:p w14:paraId="6C7CD338" w14:textId="279231DD" w:rsidR="00AB3CDD" w:rsidRDefault="00AB3CDD" w:rsidP="00AB3CDD"/>
        </w:tc>
      </w:tr>
      <w:tr w:rsidR="00AB3CDD" w14:paraId="12AFBBBD" w14:textId="77777777" w:rsidTr="00176D0D">
        <w:tc>
          <w:tcPr>
            <w:tcW w:w="2254" w:type="dxa"/>
            <w:shd w:val="clear" w:color="auto" w:fill="auto"/>
            <w:vAlign w:val="center"/>
          </w:tcPr>
          <w:p w14:paraId="5FB3409C" w14:textId="77777777" w:rsidR="00AB3CDD" w:rsidRDefault="00AB3CDD" w:rsidP="00AB3CDD">
            <w:r>
              <w:t>EJ13</w:t>
            </w:r>
          </w:p>
        </w:tc>
        <w:tc>
          <w:tcPr>
            <w:tcW w:w="2254" w:type="dxa"/>
            <w:shd w:val="clear" w:color="auto" w:fill="auto"/>
            <w:vAlign w:val="center"/>
          </w:tcPr>
          <w:p w14:paraId="7AC28D9D" w14:textId="77777777" w:rsidR="00AB3CDD" w:rsidRDefault="00AB3CDD" w:rsidP="00AB3CDD">
            <w:r>
              <w:t>Emrys Jones</w:t>
            </w:r>
          </w:p>
        </w:tc>
        <w:tc>
          <w:tcPr>
            <w:tcW w:w="2254" w:type="dxa"/>
            <w:shd w:val="clear" w:color="auto" w:fill="auto"/>
            <w:vAlign w:val="center"/>
          </w:tcPr>
          <w:p w14:paraId="14BFC449" w14:textId="77777777" w:rsidR="00AB3CDD" w:rsidRDefault="00AB3CDD" w:rsidP="00AB3CDD">
            <w:r>
              <w:t>Cirencester</w:t>
            </w:r>
          </w:p>
        </w:tc>
        <w:tc>
          <w:tcPr>
            <w:tcW w:w="2254" w:type="dxa"/>
            <w:shd w:val="clear" w:color="auto" w:fill="auto"/>
            <w:vAlign w:val="center"/>
          </w:tcPr>
          <w:p w14:paraId="1BD9EEED" w14:textId="2E8FC0B4" w:rsidR="00AB3CDD" w:rsidRDefault="00AB3CDD" w:rsidP="00AB3CDD"/>
        </w:tc>
      </w:tr>
      <w:tr w:rsidR="00AB3CDD" w14:paraId="4A70B310" w14:textId="77777777" w:rsidTr="00176D0D">
        <w:tc>
          <w:tcPr>
            <w:tcW w:w="2254" w:type="dxa"/>
            <w:shd w:val="clear" w:color="auto" w:fill="auto"/>
            <w:vAlign w:val="center"/>
          </w:tcPr>
          <w:p w14:paraId="7AC1F9A1" w14:textId="77777777" w:rsidR="00AB3CDD" w:rsidRDefault="00AB3CDD" w:rsidP="00AB3CDD">
            <w:r>
              <w:t>EJ14</w:t>
            </w:r>
          </w:p>
        </w:tc>
        <w:tc>
          <w:tcPr>
            <w:tcW w:w="2254" w:type="dxa"/>
            <w:shd w:val="clear" w:color="auto" w:fill="auto"/>
            <w:vAlign w:val="center"/>
          </w:tcPr>
          <w:p w14:paraId="7E9289A0" w14:textId="77777777" w:rsidR="00AB3CDD" w:rsidRDefault="00AB3CDD" w:rsidP="00AB3CDD">
            <w:r>
              <w:t>Emrys Jones</w:t>
            </w:r>
          </w:p>
        </w:tc>
        <w:tc>
          <w:tcPr>
            <w:tcW w:w="2254" w:type="dxa"/>
            <w:shd w:val="clear" w:color="auto" w:fill="auto"/>
            <w:vAlign w:val="center"/>
          </w:tcPr>
          <w:p w14:paraId="56B6ADF1" w14:textId="77777777" w:rsidR="00AB3CDD" w:rsidRDefault="00AB3CDD" w:rsidP="00AB3CDD">
            <w:r>
              <w:t>Cirencester</w:t>
            </w:r>
          </w:p>
        </w:tc>
        <w:tc>
          <w:tcPr>
            <w:tcW w:w="2254" w:type="dxa"/>
            <w:shd w:val="clear" w:color="auto" w:fill="auto"/>
            <w:vAlign w:val="center"/>
          </w:tcPr>
          <w:p w14:paraId="393BE944" w14:textId="5BE095ED" w:rsidR="00AB3CDD" w:rsidRDefault="00AB3CDD" w:rsidP="00AB3CDD"/>
        </w:tc>
      </w:tr>
      <w:tr w:rsidR="00AB3CDD" w14:paraId="39A17299" w14:textId="77777777" w:rsidTr="00176D0D">
        <w:tc>
          <w:tcPr>
            <w:tcW w:w="2254" w:type="dxa"/>
            <w:shd w:val="clear" w:color="auto" w:fill="auto"/>
            <w:vAlign w:val="center"/>
          </w:tcPr>
          <w:p w14:paraId="086C7CEE" w14:textId="10E652DF" w:rsidR="00AB3CDD" w:rsidRDefault="00AB3CDD" w:rsidP="00AB3CDD">
            <w:r>
              <w:t>FG01</w:t>
            </w:r>
          </w:p>
        </w:tc>
        <w:tc>
          <w:tcPr>
            <w:tcW w:w="2254" w:type="dxa"/>
            <w:shd w:val="clear" w:color="auto" w:fill="auto"/>
            <w:vAlign w:val="center"/>
          </w:tcPr>
          <w:p w14:paraId="450177B9" w14:textId="4A170095" w:rsidR="00AB3CDD" w:rsidRDefault="00AB3CDD" w:rsidP="00AB3CDD">
            <w:r>
              <w:t>Frank Garner</w:t>
            </w:r>
          </w:p>
        </w:tc>
        <w:tc>
          <w:tcPr>
            <w:tcW w:w="2254" w:type="dxa"/>
            <w:shd w:val="clear" w:color="auto" w:fill="auto"/>
            <w:vAlign w:val="center"/>
          </w:tcPr>
          <w:p w14:paraId="645AD610" w14:textId="4C79B540" w:rsidR="00AB3CDD" w:rsidRDefault="00AB3CDD" w:rsidP="00AB3CDD">
            <w:r>
              <w:t>Cirencester</w:t>
            </w:r>
          </w:p>
        </w:tc>
        <w:tc>
          <w:tcPr>
            <w:tcW w:w="2254" w:type="dxa"/>
            <w:shd w:val="clear" w:color="auto" w:fill="auto"/>
            <w:vAlign w:val="center"/>
          </w:tcPr>
          <w:p w14:paraId="0BD30632" w14:textId="6810B0CE" w:rsidR="00AB3CDD" w:rsidRDefault="00AB3CDD" w:rsidP="00AB3CDD"/>
        </w:tc>
      </w:tr>
      <w:tr w:rsidR="00AB3CDD" w14:paraId="0E695CFE" w14:textId="77777777" w:rsidTr="00176D0D">
        <w:tc>
          <w:tcPr>
            <w:tcW w:w="2254" w:type="dxa"/>
            <w:shd w:val="clear" w:color="auto" w:fill="auto"/>
            <w:vAlign w:val="center"/>
          </w:tcPr>
          <w:p w14:paraId="359703BD" w14:textId="28961713" w:rsidR="00AB3CDD" w:rsidRDefault="00AB3CDD" w:rsidP="00AB3CDD">
            <w:r>
              <w:t>FG02</w:t>
            </w:r>
          </w:p>
        </w:tc>
        <w:tc>
          <w:tcPr>
            <w:tcW w:w="2254" w:type="dxa"/>
            <w:shd w:val="clear" w:color="auto" w:fill="auto"/>
            <w:vAlign w:val="center"/>
          </w:tcPr>
          <w:p w14:paraId="7D7731D0" w14:textId="68C62C6E" w:rsidR="00AB3CDD" w:rsidRDefault="00AB3CDD" w:rsidP="00AB3CDD">
            <w:r>
              <w:t>Frank Garner</w:t>
            </w:r>
          </w:p>
        </w:tc>
        <w:tc>
          <w:tcPr>
            <w:tcW w:w="2254" w:type="dxa"/>
            <w:shd w:val="clear" w:color="auto" w:fill="auto"/>
            <w:vAlign w:val="center"/>
          </w:tcPr>
          <w:p w14:paraId="60BEF5B1" w14:textId="4C21EC79" w:rsidR="00AB3CDD" w:rsidRDefault="00AB3CDD" w:rsidP="00AB3CDD">
            <w:r>
              <w:t>Cirencester</w:t>
            </w:r>
          </w:p>
        </w:tc>
        <w:tc>
          <w:tcPr>
            <w:tcW w:w="2254" w:type="dxa"/>
            <w:shd w:val="clear" w:color="auto" w:fill="auto"/>
            <w:vAlign w:val="center"/>
          </w:tcPr>
          <w:p w14:paraId="18E46E54" w14:textId="635BAD18" w:rsidR="00AB3CDD" w:rsidRDefault="00AB3CDD" w:rsidP="00AB3CDD"/>
        </w:tc>
      </w:tr>
      <w:tr w:rsidR="00AB3CDD" w14:paraId="5F256498" w14:textId="77777777" w:rsidTr="00176D0D">
        <w:tc>
          <w:tcPr>
            <w:tcW w:w="2254" w:type="dxa"/>
            <w:shd w:val="clear" w:color="auto" w:fill="auto"/>
            <w:vAlign w:val="center"/>
          </w:tcPr>
          <w:p w14:paraId="5A30798C" w14:textId="459BB116" w:rsidR="00AB3CDD" w:rsidRDefault="00AB3CDD" w:rsidP="00AB3CDD">
            <w:r>
              <w:lastRenderedPageBreak/>
              <w:t>FG03</w:t>
            </w:r>
          </w:p>
        </w:tc>
        <w:tc>
          <w:tcPr>
            <w:tcW w:w="2254" w:type="dxa"/>
            <w:shd w:val="clear" w:color="auto" w:fill="auto"/>
            <w:vAlign w:val="center"/>
          </w:tcPr>
          <w:p w14:paraId="10B3E773" w14:textId="15A37099" w:rsidR="00AB3CDD" w:rsidRDefault="00AB3CDD" w:rsidP="00AB3CDD">
            <w:r>
              <w:t>Frank Garner</w:t>
            </w:r>
          </w:p>
        </w:tc>
        <w:tc>
          <w:tcPr>
            <w:tcW w:w="2254" w:type="dxa"/>
            <w:shd w:val="clear" w:color="auto" w:fill="auto"/>
            <w:vAlign w:val="center"/>
          </w:tcPr>
          <w:p w14:paraId="60C2D65B" w14:textId="5DEC450D" w:rsidR="00AB3CDD" w:rsidRDefault="00AB3CDD" w:rsidP="00AB3CDD">
            <w:r>
              <w:t>Cirencester</w:t>
            </w:r>
          </w:p>
        </w:tc>
        <w:tc>
          <w:tcPr>
            <w:tcW w:w="2254" w:type="dxa"/>
            <w:shd w:val="clear" w:color="auto" w:fill="auto"/>
            <w:vAlign w:val="center"/>
          </w:tcPr>
          <w:p w14:paraId="2DA64803" w14:textId="4F0C5EE4" w:rsidR="00AB3CDD" w:rsidRDefault="00AB3CDD" w:rsidP="00AB3CDD"/>
        </w:tc>
      </w:tr>
      <w:tr w:rsidR="00AB3CDD" w14:paraId="295B3BD4" w14:textId="77777777" w:rsidTr="00176D0D">
        <w:tc>
          <w:tcPr>
            <w:tcW w:w="2254" w:type="dxa"/>
            <w:shd w:val="clear" w:color="auto" w:fill="auto"/>
            <w:vAlign w:val="center"/>
          </w:tcPr>
          <w:p w14:paraId="0BE93F56" w14:textId="38C0F573" w:rsidR="00AB3CDD" w:rsidRDefault="00AB3CDD" w:rsidP="00AB3CDD">
            <w:r>
              <w:t>FG08</w:t>
            </w:r>
          </w:p>
        </w:tc>
        <w:tc>
          <w:tcPr>
            <w:tcW w:w="2254" w:type="dxa"/>
            <w:shd w:val="clear" w:color="auto" w:fill="auto"/>
            <w:vAlign w:val="center"/>
          </w:tcPr>
          <w:p w14:paraId="0E2F8569" w14:textId="3A2361FE" w:rsidR="00AB3CDD" w:rsidRDefault="00AB3CDD" w:rsidP="00AB3CDD">
            <w:r>
              <w:t>Frank Garner</w:t>
            </w:r>
          </w:p>
        </w:tc>
        <w:tc>
          <w:tcPr>
            <w:tcW w:w="2254" w:type="dxa"/>
            <w:shd w:val="clear" w:color="auto" w:fill="auto"/>
            <w:vAlign w:val="center"/>
          </w:tcPr>
          <w:p w14:paraId="501DC557" w14:textId="6A4B1833" w:rsidR="00AB3CDD" w:rsidRDefault="00AB3CDD" w:rsidP="00AB3CDD">
            <w:r>
              <w:t>Cirencester</w:t>
            </w:r>
          </w:p>
        </w:tc>
        <w:tc>
          <w:tcPr>
            <w:tcW w:w="2254" w:type="dxa"/>
            <w:shd w:val="clear" w:color="auto" w:fill="auto"/>
            <w:vAlign w:val="center"/>
          </w:tcPr>
          <w:p w14:paraId="21287D4A" w14:textId="28A11D42" w:rsidR="00AB3CDD" w:rsidRDefault="00AB3CDD" w:rsidP="00AB3CDD"/>
        </w:tc>
      </w:tr>
      <w:tr w:rsidR="00AB3CDD" w14:paraId="1FEF8EFB" w14:textId="77777777" w:rsidTr="00176D0D">
        <w:tc>
          <w:tcPr>
            <w:tcW w:w="2254" w:type="dxa"/>
            <w:shd w:val="clear" w:color="auto" w:fill="auto"/>
            <w:vAlign w:val="center"/>
          </w:tcPr>
          <w:p w14:paraId="4AB4073D" w14:textId="3027555A" w:rsidR="00AB3CDD" w:rsidRDefault="00AB3CDD" w:rsidP="00AB3CDD">
            <w:r>
              <w:t>FG09</w:t>
            </w:r>
          </w:p>
        </w:tc>
        <w:tc>
          <w:tcPr>
            <w:tcW w:w="2254" w:type="dxa"/>
            <w:shd w:val="clear" w:color="auto" w:fill="auto"/>
            <w:vAlign w:val="center"/>
          </w:tcPr>
          <w:p w14:paraId="77869150" w14:textId="7A7320E4" w:rsidR="00AB3CDD" w:rsidRDefault="00AB3CDD" w:rsidP="00AB3CDD">
            <w:r>
              <w:t>Frank Garner</w:t>
            </w:r>
          </w:p>
        </w:tc>
        <w:tc>
          <w:tcPr>
            <w:tcW w:w="2254" w:type="dxa"/>
            <w:shd w:val="clear" w:color="auto" w:fill="auto"/>
            <w:vAlign w:val="center"/>
          </w:tcPr>
          <w:p w14:paraId="0081A852" w14:textId="771135D5" w:rsidR="00AB3CDD" w:rsidRDefault="00AB3CDD" w:rsidP="00AB3CDD">
            <w:r>
              <w:t>Cirencester</w:t>
            </w:r>
          </w:p>
        </w:tc>
        <w:tc>
          <w:tcPr>
            <w:tcW w:w="2254" w:type="dxa"/>
            <w:shd w:val="clear" w:color="auto" w:fill="auto"/>
            <w:vAlign w:val="center"/>
          </w:tcPr>
          <w:p w14:paraId="092307D1" w14:textId="47EC2AF1" w:rsidR="00AB3CDD" w:rsidRDefault="00AB3CDD" w:rsidP="00AB3CDD"/>
        </w:tc>
      </w:tr>
      <w:tr w:rsidR="00AB3CDD" w14:paraId="2EE12234" w14:textId="77777777" w:rsidTr="00176D0D">
        <w:tc>
          <w:tcPr>
            <w:tcW w:w="2254" w:type="dxa"/>
            <w:shd w:val="clear" w:color="auto" w:fill="auto"/>
            <w:vAlign w:val="center"/>
          </w:tcPr>
          <w:p w14:paraId="6FF88775" w14:textId="4444BF49" w:rsidR="00AB3CDD" w:rsidRDefault="00AB3CDD" w:rsidP="00AB3CDD">
            <w:r>
              <w:t>FG10</w:t>
            </w:r>
          </w:p>
        </w:tc>
        <w:tc>
          <w:tcPr>
            <w:tcW w:w="2254" w:type="dxa"/>
            <w:shd w:val="clear" w:color="auto" w:fill="auto"/>
            <w:vAlign w:val="center"/>
          </w:tcPr>
          <w:p w14:paraId="2C7182C6" w14:textId="2DC1BFF1" w:rsidR="00AB3CDD" w:rsidRDefault="00AB3CDD" w:rsidP="00AB3CDD">
            <w:r>
              <w:t>Frank Garner</w:t>
            </w:r>
          </w:p>
        </w:tc>
        <w:tc>
          <w:tcPr>
            <w:tcW w:w="2254" w:type="dxa"/>
            <w:shd w:val="clear" w:color="auto" w:fill="auto"/>
            <w:vAlign w:val="center"/>
          </w:tcPr>
          <w:p w14:paraId="19B2B5BB" w14:textId="7801C5E1" w:rsidR="00AB3CDD" w:rsidRDefault="00AB3CDD" w:rsidP="00AB3CDD">
            <w:r>
              <w:t>Cirencester</w:t>
            </w:r>
          </w:p>
        </w:tc>
        <w:tc>
          <w:tcPr>
            <w:tcW w:w="2254" w:type="dxa"/>
            <w:shd w:val="clear" w:color="auto" w:fill="auto"/>
            <w:vAlign w:val="center"/>
          </w:tcPr>
          <w:p w14:paraId="77F28B91" w14:textId="4A3841B5" w:rsidR="00AB3CDD" w:rsidRDefault="00AB3CDD" w:rsidP="00AB3CDD"/>
        </w:tc>
      </w:tr>
      <w:tr w:rsidR="00AB3CDD" w14:paraId="09765D88" w14:textId="77777777" w:rsidTr="00AB3CDD">
        <w:tc>
          <w:tcPr>
            <w:tcW w:w="2254" w:type="dxa"/>
            <w:vAlign w:val="center"/>
          </w:tcPr>
          <w:p w14:paraId="6C238F8E" w14:textId="21925A95" w:rsidR="00AB3CDD" w:rsidRDefault="00AB3CDD" w:rsidP="00AB3CDD">
            <w:r>
              <w:t>FG57</w:t>
            </w:r>
          </w:p>
        </w:tc>
        <w:tc>
          <w:tcPr>
            <w:tcW w:w="2254" w:type="dxa"/>
            <w:vAlign w:val="center"/>
          </w:tcPr>
          <w:p w14:paraId="2B471A59" w14:textId="7CED56CA" w:rsidR="00AB3CDD" w:rsidRDefault="00AB3CDD" w:rsidP="00AB3CDD">
            <w:r>
              <w:t>Frank Garner</w:t>
            </w:r>
          </w:p>
        </w:tc>
        <w:tc>
          <w:tcPr>
            <w:tcW w:w="2254" w:type="dxa"/>
            <w:vAlign w:val="center"/>
          </w:tcPr>
          <w:p w14:paraId="61CA8133" w14:textId="5EEAFD3C" w:rsidR="00AB3CDD" w:rsidRDefault="00AB3CDD" w:rsidP="00AB3CDD">
            <w:r>
              <w:t>Cirencester</w:t>
            </w:r>
          </w:p>
        </w:tc>
        <w:tc>
          <w:tcPr>
            <w:tcW w:w="2254" w:type="dxa"/>
            <w:vAlign w:val="center"/>
          </w:tcPr>
          <w:p w14:paraId="30CB7C90" w14:textId="77777777" w:rsidR="00AB3CDD" w:rsidRDefault="00AB3CDD" w:rsidP="00AB3CDD"/>
        </w:tc>
      </w:tr>
      <w:tr w:rsidR="00AB3CDD" w14:paraId="30EE8299" w14:textId="77777777" w:rsidTr="00AB3CDD">
        <w:tc>
          <w:tcPr>
            <w:tcW w:w="2254" w:type="dxa"/>
            <w:vAlign w:val="center"/>
          </w:tcPr>
          <w:p w14:paraId="357CE103" w14:textId="2E5C34B5" w:rsidR="00AB3CDD" w:rsidRDefault="00AB3CDD" w:rsidP="00AB3CDD">
            <w:r>
              <w:t>PLT</w:t>
            </w:r>
          </w:p>
        </w:tc>
        <w:tc>
          <w:tcPr>
            <w:tcW w:w="2254" w:type="dxa"/>
            <w:vAlign w:val="center"/>
          </w:tcPr>
          <w:p w14:paraId="12D10BE1" w14:textId="2E3F3BEC" w:rsidR="00AB3CDD" w:rsidRDefault="00AB3CDD" w:rsidP="00AB3CDD">
            <w:r>
              <w:t>Library</w:t>
            </w:r>
          </w:p>
        </w:tc>
        <w:tc>
          <w:tcPr>
            <w:tcW w:w="2254" w:type="dxa"/>
            <w:vAlign w:val="center"/>
          </w:tcPr>
          <w:p w14:paraId="78C17DC4" w14:textId="3F02F241" w:rsidR="00AB3CDD" w:rsidRDefault="00AB3CDD" w:rsidP="00AB3CDD">
            <w:r>
              <w:t>Cirencester</w:t>
            </w:r>
          </w:p>
        </w:tc>
        <w:tc>
          <w:tcPr>
            <w:tcW w:w="2254" w:type="dxa"/>
            <w:vAlign w:val="center"/>
          </w:tcPr>
          <w:p w14:paraId="3202CFE6" w14:textId="51E48B73" w:rsidR="00AB3CDD" w:rsidRDefault="00AB3CDD" w:rsidP="00AB3CDD"/>
        </w:tc>
      </w:tr>
      <w:tr w:rsidR="00AB3CDD" w14:paraId="6695CDEE" w14:textId="77777777" w:rsidTr="00AB3CDD">
        <w:tc>
          <w:tcPr>
            <w:tcW w:w="2254" w:type="dxa"/>
            <w:vAlign w:val="center"/>
          </w:tcPr>
          <w:p w14:paraId="6D28B4CB" w14:textId="447183C7" w:rsidR="00AB3CDD" w:rsidRDefault="00AB3CDD" w:rsidP="00AB3CDD">
            <w:r>
              <w:t>L01</w:t>
            </w:r>
          </w:p>
        </w:tc>
        <w:tc>
          <w:tcPr>
            <w:tcW w:w="2254" w:type="dxa"/>
            <w:vAlign w:val="center"/>
          </w:tcPr>
          <w:p w14:paraId="4DACC695" w14:textId="7F0362F5" w:rsidR="00AB3CDD" w:rsidRDefault="00AB3CDD" w:rsidP="00AB3CDD">
            <w:r>
              <w:t>Laboratory Block</w:t>
            </w:r>
          </w:p>
        </w:tc>
        <w:tc>
          <w:tcPr>
            <w:tcW w:w="2254" w:type="dxa"/>
            <w:vAlign w:val="center"/>
          </w:tcPr>
          <w:p w14:paraId="784B1F43" w14:textId="55768617" w:rsidR="00AB3CDD" w:rsidRDefault="00AB3CDD" w:rsidP="00AB3CDD">
            <w:r>
              <w:t>Cirencester</w:t>
            </w:r>
          </w:p>
        </w:tc>
        <w:tc>
          <w:tcPr>
            <w:tcW w:w="2254" w:type="dxa"/>
            <w:vAlign w:val="center"/>
          </w:tcPr>
          <w:p w14:paraId="74FB4513" w14:textId="77777777" w:rsidR="00AB3CDD" w:rsidRDefault="00AB3CDD" w:rsidP="00AB3CDD"/>
        </w:tc>
      </w:tr>
      <w:tr w:rsidR="00AB3CDD" w14:paraId="6289626E" w14:textId="77777777" w:rsidTr="00AB3CDD">
        <w:tc>
          <w:tcPr>
            <w:tcW w:w="2254" w:type="dxa"/>
            <w:vAlign w:val="center"/>
          </w:tcPr>
          <w:p w14:paraId="1ADAF059" w14:textId="7B69E7F6" w:rsidR="00AB3CDD" w:rsidRDefault="00AB3CDD" w:rsidP="00AB3CDD">
            <w:r>
              <w:t>L05</w:t>
            </w:r>
          </w:p>
        </w:tc>
        <w:tc>
          <w:tcPr>
            <w:tcW w:w="2254" w:type="dxa"/>
            <w:vAlign w:val="center"/>
          </w:tcPr>
          <w:p w14:paraId="5C433EE7" w14:textId="5D9408E2" w:rsidR="00AB3CDD" w:rsidRDefault="00AB3CDD" w:rsidP="00AB3CDD">
            <w:r>
              <w:t>Laboratory Block</w:t>
            </w:r>
          </w:p>
        </w:tc>
        <w:tc>
          <w:tcPr>
            <w:tcW w:w="2254" w:type="dxa"/>
            <w:vAlign w:val="center"/>
          </w:tcPr>
          <w:p w14:paraId="1AD10314" w14:textId="2E92EC0D" w:rsidR="00AB3CDD" w:rsidRDefault="00AB3CDD" w:rsidP="00AB3CDD">
            <w:r>
              <w:t>Cirencester</w:t>
            </w:r>
          </w:p>
        </w:tc>
        <w:tc>
          <w:tcPr>
            <w:tcW w:w="2254" w:type="dxa"/>
            <w:vAlign w:val="center"/>
          </w:tcPr>
          <w:p w14:paraId="5F6FE3F7" w14:textId="77777777" w:rsidR="00AB3CDD" w:rsidRDefault="00AB3CDD" w:rsidP="00AB3CDD"/>
        </w:tc>
      </w:tr>
      <w:tr w:rsidR="00AB3CDD" w14:paraId="074BD454" w14:textId="77777777" w:rsidTr="00AB3CDD">
        <w:tc>
          <w:tcPr>
            <w:tcW w:w="2254" w:type="dxa"/>
            <w:vAlign w:val="center"/>
          </w:tcPr>
          <w:p w14:paraId="75A834D7" w14:textId="32799776" w:rsidR="00AB3CDD" w:rsidRDefault="00AB3CDD" w:rsidP="00AB3CDD">
            <w:r>
              <w:t>L07</w:t>
            </w:r>
          </w:p>
        </w:tc>
        <w:tc>
          <w:tcPr>
            <w:tcW w:w="2254" w:type="dxa"/>
            <w:vAlign w:val="center"/>
          </w:tcPr>
          <w:p w14:paraId="510013EA" w14:textId="1325AA49" w:rsidR="00AB3CDD" w:rsidRDefault="00AB3CDD" w:rsidP="00AB3CDD">
            <w:r>
              <w:t>Laboratory Block</w:t>
            </w:r>
          </w:p>
        </w:tc>
        <w:tc>
          <w:tcPr>
            <w:tcW w:w="2254" w:type="dxa"/>
            <w:vAlign w:val="center"/>
          </w:tcPr>
          <w:p w14:paraId="0B08E2EF" w14:textId="5420263E" w:rsidR="00AB3CDD" w:rsidRDefault="00AB3CDD" w:rsidP="00AB3CDD">
            <w:r>
              <w:t>Cirencester</w:t>
            </w:r>
          </w:p>
        </w:tc>
        <w:tc>
          <w:tcPr>
            <w:tcW w:w="2254" w:type="dxa"/>
            <w:vAlign w:val="center"/>
          </w:tcPr>
          <w:p w14:paraId="6EF6A604" w14:textId="77777777" w:rsidR="00AB3CDD" w:rsidRDefault="00AB3CDD" w:rsidP="00AB3CDD"/>
        </w:tc>
      </w:tr>
      <w:tr w:rsidR="00AB3CDD" w14:paraId="27C114F1" w14:textId="77777777" w:rsidTr="00AB3CDD">
        <w:tc>
          <w:tcPr>
            <w:tcW w:w="2254" w:type="dxa"/>
            <w:vAlign w:val="center"/>
          </w:tcPr>
          <w:p w14:paraId="21F79073" w14:textId="6B1DC8D7" w:rsidR="00AB3CDD" w:rsidRDefault="00AB3CDD" w:rsidP="00AB3CDD">
            <w:r>
              <w:t>S1</w:t>
            </w:r>
          </w:p>
        </w:tc>
        <w:tc>
          <w:tcPr>
            <w:tcW w:w="2254" w:type="dxa"/>
            <w:vAlign w:val="center"/>
          </w:tcPr>
          <w:p w14:paraId="316D4121" w14:textId="691CC82B" w:rsidR="00AB3CDD" w:rsidRDefault="00AB3CDD" w:rsidP="00AB3CDD">
            <w:r>
              <w:t>RAU Swindon</w:t>
            </w:r>
          </w:p>
        </w:tc>
        <w:tc>
          <w:tcPr>
            <w:tcW w:w="2254" w:type="dxa"/>
            <w:vAlign w:val="center"/>
          </w:tcPr>
          <w:p w14:paraId="47684F0D" w14:textId="3C416A85" w:rsidR="00AB3CDD" w:rsidRDefault="00AB3CDD" w:rsidP="00AB3CDD">
            <w:r>
              <w:t>Swindon</w:t>
            </w:r>
          </w:p>
        </w:tc>
        <w:tc>
          <w:tcPr>
            <w:tcW w:w="2254" w:type="dxa"/>
            <w:vAlign w:val="center"/>
          </w:tcPr>
          <w:p w14:paraId="07AD8B2E" w14:textId="77777777" w:rsidR="00AB3CDD" w:rsidRDefault="00AB3CDD" w:rsidP="00AB3CDD"/>
        </w:tc>
      </w:tr>
      <w:tr w:rsidR="00AB3CDD" w14:paraId="3F4CEA0C" w14:textId="77777777" w:rsidTr="00AB3CDD">
        <w:tc>
          <w:tcPr>
            <w:tcW w:w="2254" w:type="dxa"/>
            <w:vAlign w:val="center"/>
          </w:tcPr>
          <w:p w14:paraId="23FA8AE5" w14:textId="2D3C2931" w:rsidR="00AB3CDD" w:rsidRDefault="00AB3CDD" w:rsidP="00AB3CDD">
            <w:r>
              <w:t>S2</w:t>
            </w:r>
          </w:p>
        </w:tc>
        <w:tc>
          <w:tcPr>
            <w:tcW w:w="2254" w:type="dxa"/>
            <w:vAlign w:val="center"/>
          </w:tcPr>
          <w:p w14:paraId="5DAF3461" w14:textId="6CDFF8E2" w:rsidR="00AB3CDD" w:rsidRDefault="00AB3CDD" w:rsidP="00AB3CDD">
            <w:r>
              <w:t>RAU Swindon</w:t>
            </w:r>
          </w:p>
        </w:tc>
        <w:tc>
          <w:tcPr>
            <w:tcW w:w="2254" w:type="dxa"/>
            <w:vAlign w:val="center"/>
          </w:tcPr>
          <w:p w14:paraId="25794821" w14:textId="4C0A252F" w:rsidR="00AB3CDD" w:rsidRDefault="00AB3CDD" w:rsidP="00AB3CDD">
            <w:r>
              <w:t>Swindon</w:t>
            </w:r>
          </w:p>
        </w:tc>
        <w:tc>
          <w:tcPr>
            <w:tcW w:w="2254" w:type="dxa"/>
            <w:vAlign w:val="center"/>
          </w:tcPr>
          <w:p w14:paraId="38D0DA21" w14:textId="77777777" w:rsidR="00AB3CDD" w:rsidRDefault="00AB3CDD" w:rsidP="00AB3CDD"/>
        </w:tc>
      </w:tr>
      <w:tr w:rsidR="00AB3CDD" w14:paraId="00FA264C" w14:textId="77777777" w:rsidTr="00AB3CDD">
        <w:tc>
          <w:tcPr>
            <w:tcW w:w="2254" w:type="dxa"/>
            <w:vAlign w:val="center"/>
          </w:tcPr>
          <w:p w14:paraId="31B461DC" w14:textId="53400833" w:rsidR="00AB3CDD" w:rsidRDefault="00AB3CDD" w:rsidP="00AB3CDD">
            <w:r>
              <w:t>S3</w:t>
            </w:r>
          </w:p>
        </w:tc>
        <w:tc>
          <w:tcPr>
            <w:tcW w:w="2254" w:type="dxa"/>
            <w:vAlign w:val="center"/>
          </w:tcPr>
          <w:p w14:paraId="701B0637" w14:textId="675BF9E6" w:rsidR="00AB3CDD" w:rsidRDefault="00AB3CDD" w:rsidP="00AB3CDD">
            <w:r>
              <w:t>RAU Swindon</w:t>
            </w:r>
          </w:p>
        </w:tc>
        <w:tc>
          <w:tcPr>
            <w:tcW w:w="2254" w:type="dxa"/>
            <w:vAlign w:val="center"/>
          </w:tcPr>
          <w:p w14:paraId="57CA6F41" w14:textId="0BB579B1" w:rsidR="00AB3CDD" w:rsidRDefault="00AB3CDD" w:rsidP="00AB3CDD">
            <w:r>
              <w:t>Swindon</w:t>
            </w:r>
          </w:p>
        </w:tc>
        <w:tc>
          <w:tcPr>
            <w:tcW w:w="2254" w:type="dxa"/>
            <w:vAlign w:val="center"/>
          </w:tcPr>
          <w:p w14:paraId="0C1AF372" w14:textId="77777777" w:rsidR="00AB3CDD" w:rsidRDefault="00AB3CDD" w:rsidP="00AB3CDD"/>
        </w:tc>
      </w:tr>
      <w:tr w:rsidR="00AB3CDD" w14:paraId="4AE7F960" w14:textId="77777777" w:rsidTr="00AB3CDD">
        <w:tc>
          <w:tcPr>
            <w:tcW w:w="2254" w:type="dxa"/>
            <w:vAlign w:val="center"/>
          </w:tcPr>
          <w:p w14:paraId="75C11A5B" w14:textId="5B50CF9B" w:rsidR="00AB3CDD" w:rsidRDefault="00AB3CDD" w:rsidP="00AB3CDD">
            <w:r>
              <w:t>S4</w:t>
            </w:r>
          </w:p>
        </w:tc>
        <w:tc>
          <w:tcPr>
            <w:tcW w:w="2254" w:type="dxa"/>
            <w:vAlign w:val="center"/>
          </w:tcPr>
          <w:p w14:paraId="0C1D1231" w14:textId="4E8ED9E0" w:rsidR="00AB3CDD" w:rsidRDefault="00AB3CDD" w:rsidP="00AB3CDD">
            <w:r>
              <w:t>RAU Swindon</w:t>
            </w:r>
          </w:p>
        </w:tc>
        <w:tc>
          <w:tcPr>
            <w:tcW w:w="2254" w:type="dxa"/>
            <w:vAlign w:val="center"/>
          </w:tcPr>
          <w:p w14:paraId="524FA277" w14:textId="6B3C8489" w:rsidR="00AB3CDD" w:rsidRDefault="00AB3CDD" w:rsidP="00AB3CDD">
            <w:r>
              <w:t>Swindon</w:t>
            </w:r>
          </w:p>
        </w:tc>
        <w:tc>
          <w:tcPr>
            <w:tcW w:w="2254" w:type="dxa"/>
            <w:vAlign w:val="center"/>
          </w:tcPr>
          <w:p w14:paraId="54187FB4" w14:textId="77777777" w:rsidR="00AB3CDD" w:rsidRDefault="00AB3CDD" w:rsidP="00AB3CDD"/>
        </w:tc>
      </w:tr>
      <w:tr w:rsidR="00AB3CDD" w14:paraId="5C48E337" w14:textId="77777777" w:rsidTr="00AB3CDD">
        <w:tc>
          <w:tcPr>
            <w:tcW w:w="2254" w:type="dxa"/>
            <w:vAlign w:val="center"/>
          </w:tcPr>
          <w:p w14:paraId="6C8A678E" w14:textId="34FCC0DE" w:rsidR="00AB3CDD" w:rsidRDefault="00AB3CDD" w:rsidP="00AB3CDD">
            <w:r>
              <w:t>S5</w:t>
            </w:r>
          </w:p>
        </w:tc>
        <w:tc>
          <w:tcPr>
            <w:tcW w:w="2254" w:type="dxa"/>
            <w:vAlign w:val="center"/>
          </w:tcPr>
          <w:p w14:paraId="14B3ACCC" w14:textId="594940BD" w:rsidR="00AB3CDD" w:rsidRDefault="00AB3CDD" w:rsidP="00AB3CDD">
            <w:r>
              <w:t>RAU Swindon</w:t>
            </w:r>
          </w:p>
        </w:tc>
        <w:tc>
          <w:tcPr>
            <w:tcW w:w="2254" w:type="dxa"/>
            <w:vAlign w:val="center"/>
          </w:tcPr>
          <w:p w14:paraId="4BF8CB7A" w14:textId="4DBDABB9" w:rsidR="00AB3CDD" w:rsidRDefault="00AB3CDD" w:rsidP="00AB3CDD">
            <w:r>
              <w:t>Swindon</w:t>
            </w:r>
          </w:p>
        </w:tc>
        <w:tc>
          <w:tcPr>
            <w:tcW w:w="2254" w:type="dxa"/>
            <w:vAlign w:val="center"/>
          </w:tcPr>
          <w:p w14:paraId="22A2D818" w14:textId="77777777" w:rsidR="00AB3CDD" w:rsidRDefault="00AB3CDD" w:rsidP="00AB3CDD"/>
        </w:tc>
      </w:tr>
    </w:tbl>
    <w:p w14:paraId="1F09675E" w14:textId="77777777" w:rsidR="00AB3CDD" w:rsidRPr="00751EC3" w:rsidRDefault="00AB3CDD" w:rsidP="008841E3"/>
    <w:p w14:paraId="34CBBCFC" w14:textId="77777777" w:rsidR="00716429" w:rsidRDefault="00716429" w:rsidP="00716429">
      <w:pPr>
        <w:pStyle w:val="Heading2"/>
      </w:pPr>
      <w:r>
        <w:t>Event Types</w:t>
      </w:r>
    </w:p>
    <w:p w14:paraId="7827EAE7" w14:textId="0E356015" w:rsidR="008F6188" w:rsidRDefault="00A456B9" w:rsidP="00501346">
      <w:r w:rsidRPr="00A456B9">
        <w:t>Events will be categorised by event type:</w:t>
      </w:r>
    </w:p>
    <w:p w14:paraId="071DE259" w14:textId="163E8959" w:rsidR="00716429" w:rsidRDefault="00716429" w:rsidP="00716429">
      <w:pPr>
        <w:pStyle w:val="Heading3"/>
      </w:pPr>
      <w:r>
        <w:t>Scheduled Learning and Teaching</w:t>
      </w:r>
    </w:p>
    <w:tbl>
      <w:tblPr>
        <w:tblStyle w:val="TableGrid"/>
        <w:tblW w:w="0" w:type="auto"/>
        <w:tblLook w:val="04A0" w:firstRow="1" w:lastRow="0" w:firstColumn="1" w:lastColumn="0" w:noHBand="0" w:noVBand="1"/>
      </w:tblPr>
      <w:tblGrid>
        <w:gridCol w:w="1587"/>
        <w:gridCol w:w="3472"/>
        <w:gridCol w:w="2286"/>
        <w:gridCol w:w="1671"/>
      </w:tblGrid>
      <w:tr w:rsidR="00716429" w14:paraId="1A2F2874" w14:textId="77777777" w:rsidTr="00215A81">
        <w:tc>
          <w:tcPr>
            <w:tcW w:w="0" w:type="auto"/>
            <w:shd w:val="clear" w:color="auto" w:fill="D0CECE" w:themeFill="background2" w:themeFillShade="E6"/>
          </w:tcPr>
          <w:p w14:paraId="208118CC" w14:textId="77777777" w:rsidR="00716429" w:rsidRDefault="00716429" w:rsidP="00215A81">
            <w:r>
              <w:t>Event Type</w:t>
            </w:r>
          </w:p>
        </w:tc>
        <w:tc>
          <w:tcPr>
            <w:tcW w:w="0" w:type="auto"/>
            <w:shd w:val="clear" w:color="auto" w:fill="D0CECE" w:themeFill="background2" w:themeFillShade="E6"/>
          </w:tcPr>
          <w:p w14:paraId="13A100E3" w14:textId="77777777" w:rsidR="00716429" w:rsidRDefault="00716429" w:rsidP="00215A81">
            <w:r>
              <w:t>Description</w:t>
            </w:r>
          </w:p>
        </w:tc>
        <w:tc>
          <w:tcPr>
            <w:tcW w:w="0" w:type="auto"/>
            <w:shd w:val="clear" w:color="auto" w:fill="D0CECE" w:themeFill="background2" w:themeFillShade="E6"/>
          </w:tcPr>
          <w:p w14:paraId="22ABAF7A" w14:textId="77777777" w:rsidR="00716429" w:rsidRDefault="00716429" w:rsidP="00215A81">
            <w:r>
              <w:t>Appearance in Timetable</w:t>
            </w:r>
          </w:p>
        </w:tc>
        <w:tc>
          <w:tcPr>
            <w:tcW w:w="0" w:type="auto"/>
            <w:shd w:val="clear" w:color="auto" w:fill="D0CECE" w:themeFill="background2" w:themeFillShade="E6"/>
          </w:tcPr>
          <w:p w14:paraId="2F7798D6" w14:textId="77777777" w:rsidR="00716429" w:rsidRDefault="00716429" w:rsidP="00215A81">
            <w:r>
              <w:t>Typical Room Allocation</w:t>
            </w:r>
          </w:p>
        </w:tc>
      </w:tr>
      <w:tr w:rsidR="00716429" w14:paraId="00045BD7" w14:textId="77777777" w:rsidTr="00215A81">
        <w:tc>
          <w:tcPr>
            <w:tcW w:w="0" w:type="auto"/>
          </w:tcPr>
          <w:p w14:paraId="1E2FB466" w14:textId="77777777" w:rsidR="00716429" w:rsidRDefault="00716429" w:rsidP="00215A81">
            <w:r>
              <w:t>Lecture</w:t>
            </w:r>
          </w:p>
        </w:tc>
        <w:tc>
          <w:tcPr>
            <w:tcW w:w="0" w:type="auto"/>
          </w:tcPr>
          <w:p w14:paraId="272860C2" w14:textId="77777777" w:rsidR="00716429" w:rsidRDefault="00716429" w:rsidP="00215A81">
            <w:r>
              <w:t>Teaching is predominantly one-way and is delivered in-person, to all students.</w:t>
            </w:r>
          </w:p>
        </w:tc>
        <w:tc>
          <w:tcPr>
            <w:tcW w:w="0" w:type="auto"/>
          </w:tcPr>
          <w:p w14:paraId="5314B2B0" w14:textId="77777777" w:rsidR="00716429" w:rsidRDefault="00716429" w:rsidP="00215A81">
            <w:r>
              <w:t>Scheduled in the timetable as event type ‘LECTURE’</w:t>
            </w:r>
          </w:p>
        </w:tc>
        <w:tc>
          <w:tcPr>
            <w:tcW w:w="0" w:type="auto"/>
          </w:tcPr>
          <w:p w14:paraId="5C17FD53" w14:textId="77777777" w:rsidR="00716429" w:rsidRDefault="00716429" w:rsidP="00215A81">
            <w:r>
              <w:t>Standard teaching rooms;</w:t>
            </w:r>
          </w:p>
          <w:p w14:paraId="1F5E4EDE" w14:textId="77777777" w:rsidR="00716429" w:rsidRDefault="00716429" w:rsidP="00215A81"/>
        </w:tc>
      </w:tr>
      <w:tr w:rsidR="00716429" w14:paraId="3674225B" w14:textId="77777777" w:rsidTr="00215A81">
        <w:tc>
          <w:tcPr>
            <w:tcW w:w="0" w:type="auto"/>
          </w:tcPr>
          <w:p w14:paraId="4243FBA1" w14:textId="77777777" w:rsidR="00716429" w:rsidRDefault="00716429" w:rsidP="00215A81">
            <w:r>
              <w:t>Online Lecture</w:t>
            </w:r>
          </w:p>
        </w:tc>
        <w:tc>
          <w:tcPr>
            <w:tcW w:w="0" w:type="auto"/>
          </w:tcPr>
          <w:p w14:paraId="451935FE" w14:textId="77777777" w:rsidR="00716429" w:rsidRDefault="00716429" w:rsidP="00215A81">
            <w:r>
              <w:t>Teaching is predominantly one-way and is delivered live, online to all students.</w:t>
            </w:r>
          </w:p>
        </w:tc>
        <w:tc>
          <w:tcPr>
            <w:tcW w:w="0" w:type="auto"/>
          </w:tcPr>
          <w:p w14:paraId="73392531" w14:textId="77777777" w:rsidR="00716429" w:rsidRDefault="00716429" w:rsidP="00215A81">
            <w:r>
              <w:t>Scheduled in the timetable as event type ‘ONLINE LECTURE’</w:t>
            </w:r>
          </w:p>
        </w:tc>
        <w:tc>
          <w:tcPr>
            <w:tcW w:w="0" w:type="auto"/>
          </w:tcPr>
          <w:p w14:paraId="7254B36C" w14:textId="77777777" w:rsidR="00716429" w:rsidRDefault="00716429" w:rsidP="00215A81">
            <w:r>
              <w:t>No room required.</w:t>
            </w:r>
          </w:p>
        </w:tc>
      </w:tr>
      <w:tr w:rsidR="00716429" w14:paraId="604472C5" w14:textId="77777777" w:rsidTr="00215A81">
        <w:tc>
          <w:tcPr>
            <w:tcW w:w="0" w:type="auto"/>
          </w:tcPr>
          <w:p w14:paraId="2056DB19" w14:textId="77777777" w:rsidR="00716429" w:rsidRDefault="00716429" w:rsidP="00215A81">
            <w:r>
              <w:t>Seminar</w:t>
            </w:r>
          </w:p>
        </w:tc>
        <w:tc>
          <w:tcPr>
            <w:tcW w:w="0" w:type="auto"/>
          </w:tcPr>
          <w:p w14:paraId="3F1FFFFC" w14:textId="77777777" w:rsidR="00716429" w:rsidRDefault="00716429" w:rsidP="00215A81">
            <w:r>
              <w:t>Teaching is predominantly two-way and is delivered in-person to all students, or a sub-group of students.</w:t>
            </w:r>
          </w:p>
        </w:tc>
        <w:tc>
          <w:tcPr>
            <w:tcW w:w="0" w:type="auto"/>
          </w:tcPr>
          <w:p w14:paraId="49AC3F56" w14:textId="77777777" w:rsidR="00716429" w:rsidRPr="002C1986" w:rsidRDefault="00716429" w:rsidP="00215A81">
            <w:pPr>
              <w:rPr>
                <w:b/>
              </w:rPr>
            </w:pPr>
            <w:r>
              <w:t>Scheduled in the timetable as event type ‘SEMINAR</w:t>
            </w:r>
          </w:p>
        </w:tc>
        <w:tc>
          <w:tcPr>
            <w:tcW w:w="0" w:type="auto"/>
          </w:tcPr>
          <w:p w14:paraId="7006A972" w14:textId="77777777" w:rsidR="00716429" w:rsidRDefault="00716429" w:rsidP="00215A81">
            <w:r>
              <w:t>Standard teaching rooms;</w:t>
            </w:r>
          </w:p>
          <w:p w14:paraId="4A9F6722" w14:textId="77777777" w:rsidR="00716429" w:rsidRDefault="00716429" w:rsidP="00215A81">
            <w:r>
              <w:t>Laboratory rooms; computer rooms</w:t>
            </w:r>
          </w:p>
        </w:tc>
      </w:tr>
      <w:tr w:rsidR="00716429" w14:paraId="6C6F7C7F" w14:textId="77777777" w:rsidTr="00215A81">
        <w:tc>
          <w:tcPr>
            <w:tcW w:w="0" w:type="auto"/>
          </w:tcPr>
          <w:p w14:paraId="3CF3CD3A" w14:textId="77777777" w:rsidR="00716429" w:rsidRDefault="00716429" w:rsidP="00215A81">
            <w:r>
              <w:t>Online Seminar</w:t>
            </w:r>
          </w:p>
        </w:tc>
        <w:tc>
          <w:tcPr>
            <w:tcW w:w="0" w:type="auto"/>
          </w:tcPr>
          <w:p w14:paraId="701505DB" w14:textId="77777777" w:rsidR="00716429" w:rsidRDefault="00716429" w:rsidP="00215A81">
            <w:r>
              <w:t>Teaching is predominantly two-way and is delivered live, online to all students, or a sub-group of students.</w:t>
            </w:r>
          </w:p>
        </w:tc>
        <w:tc>
          <w:tcPr>
            <w:tcW w:w="0" w:type="auto"/>
          </w:tcPr>
          <w:p w14:paraId="718E8FF4" w14:textId="77777777" w:rsidR="00716429" w:rsidRDefault="00716429" w:rsidP="00215A81">
            <w:r>
              <w:t>Scheduled in the timetable as event type ‘ONLINE SEMINAR’</w:t>
            </w:r>
          </w:p>
        </w:tc>
        <w:tc>
          <w:tcPr>
            <w:tcW w:w="0" w:type="auto"/>
          </w:tcPr>
          <w:p w14:paraId="053564FA" w14:textId="77777777" w:rsidR="00716429" w:rsidRDefault="00716429" w:rsidP="00215A81">
            <w:r>
              <w:t>No room required</w:t>
            </w:r>
          </w:p>
        </w:tc>
      </w:tr>
      <w:tr w:rsidR="00716429" w14:paraId="01FE0C05" w14:textId="77777777" w:rsidTr="00215A81">
        <w:tc>
          <w:tcPr>
            <w:tcW w:w="0" w:type="auto"/>
          </w:tcPr>
          <w:p w14:paraId="0C07FE63" w14:textId="77777777" w:rsidR="00716429" w:rsidRDefault="00716429" w:rsidP="00215A81">
            <w:r>
              <w:t>Field Work</w:t>
            </w:r>
          </w:p>
        </w:tc>
        <w:tc>
          <w:tcPr>
            <w:tcW w:w="0" w:type="auto"/>
          </w:tcPr>
          <w:p w14:paraId="29B6E552" w14:textId="77777777" w:rsidR="00716429" w:rsidRDefault="00716429" w:rsidP="00215A81">
            <w:r>
              <w:t>Teaching takes place on location but at a location that is owned or maintained by the University.</w:t>
            </w:r>
          </w:p>
        </w:tc>
        <w:tc>
          <w:tcPr>
            <w:tcW w:w="0" w:type="auto"/>
          </w:tcPr>
          <w:p w14:paraId="68884DF5" w14:textId="77777777" w:rsidR="00716429" w:rsidRDefault="00716429" w:rsidP="00215A81">
            <w:r>
              <w:t>Scheduled in the timetable as event type ‘FIELDWORK</w:t>
            </w:r>
          </w:p>
        </w:tc>
        <w:tc>
          <w:tcPr>
            <w:tcW w:w="0" w:type="auto"/>
          </w:tcPr>
          <w:p w14:paraId="5023A1AB" w14:textId="77777777" w:rsidR="00716429" w:rsidRDefault="00716429" w:rsidP="00215A81">
            <w:r>
              <w:t xml:space="preserve">RAU Equestrian Centre; </w:t>
            </w:r>
            <w:proofErr w:type="spellStart"/>
            <w:r>
              <w:t>Harnhill</w:t>
            </w:r>
            <w:proofErr w:type="spellEnd"/>
          </w:p>
        </w:tc>
      </w:tr>
      <w:tr w:rsidR="00716429" w14:paraId="30F1ED0D" w14:textId="77777777" w:rsidTr="00215A81">
        <w:tc>
          <w:tcPr>
            <w:tcW w:w="0" w:type="auto"/>
          </w:tcPr>
          <w:p w14:paraId="0A1FC8B4" w14:textId="77777777" w:rsidR="00716429" w:rsidRDefault="00716429" w:rsidP="00215A81">
            <w:r>
              <w:lastRenderedPageBreak/>
              <w:t>Study Visit</w:t>
            </w:r>
          </w:p>
        </w:tc>
        <w:tc>
          <w:tcPr>
            <w:tcW w:w="0" w:type="auto"/>
          </w:tcPr>
          <w:p w14:paraId="00634D4E" w14:textId="77777777" w:rsidR="00716429" w:rsidRDefault="00716429" w:rsidP="00215A81">
            <w:r>
              <w:t>Teaching takes place on location but at a location that is not owned or maintained by the University.</w:t>
            </w:r>
          </w:p>
        </w:tc>
        <w:tc>
          <w:tcPr>
            <w:tcW w:w="0" w:type="auto"/>
          </w:tcPr>
          <w:p w14:paraId="7C995E5F" w14:textId="77777777" w:rsidR="00716429" w:rsidRDefault="00716429" w:rsidP="00215A81">
            <w:r>
              <w:t>Scheduled in the timetable as event type ‘STUDY VISIT’</w:t>
            </w:r>
          </w:p>
        </w:tc>
        <w:tc>
          <w:tcPr>
            <w:tcW w:w="0" w:type="auto"/>
          </w:tcPr>
          <w:p w14:paraId="22C66A8A" w14:textId="77777777" w:rsidR="00716429" w:rsidRDefault="00716429" w:rsidP="00215A81">
            <w:r>
              <w:t>No room required; meeting location only</w:t>
            </w:r>
          </w:p>
        </w:tc>
      </w:tr>
      <w:tr w:rsidR="00716429" w14:paraId="7D3069B8" w14:textId="77777777" w:rsidTr="00215A81">
        <w:tc>
          <w:tcPr>
            <w:tcW w:w="0" w:type="auto"/>
          </w:tcPr>
          <w:p w14:paraId="4C1FD90C" w14:textId="77777777" w:rsidR="00716429" w:rsidRDefault="00716429" w:rsidP="00215A81">
            <w:r>
              <w:t>Scheduled Assessment</w:t>
            </w:r>
          </w:p>
        </w:tc>
        <w:tc>
          <w:tcPr>
            <w:tcW w:w="0" w:type="auto"/>
          </w:tcPr>
          <w:p w14:paraId="7CD68C94" w14:textId="77777777" w:rsidR="00716429" w:rsidRDefault="00716429" w:rsidP="00215A81">
            <w:r>
              <w:t>A scheduled period in which a written exam, or practical assessment may take place.</w:t>
            </w:r>
          </w:p>
        </w:tc>
        <w:tc>
          <w:tcPr>
            <w:tcW w:w="0" w:type="auto"/>
          </w:tcPr>
          <w:p w14:paraId="4DDC0732" w14:textId="77777777" w:rsidR="00716429" w:rsidRDefault="00716429" w:rsidP="00215A81">
            <w:r>
              <w:t>Scheduled in the timetable as event type ‘SCHEDULED ASSESSMENT’</w:t>
            </w:r>
          </w:p>
        </w:tc>
        <w:tc>
          <w:tcPr>
            <w:tcW w:w="0" w:type="auto"/>
          </w:tcPr>
          <w:p w14:paraId="0D0CE5B4" w14:textId="77777777" w:rsidR="00716429" w:rsidRDefault="00716429" w:rsidP="00215A81">
            <w:r>
              <w:t>Standard teaching rooms;</w:t>
            </w:r>
          </w:p>
          <w:p w14:paraId="42D4EA61" w14:textId="77777777" w:rsidR="00716429" w:rsidRDefault="00716429" w:rsidP="00215A81">
            <w:r>
              <w:t>Laboratory rooms; computer rooms</w:t>
            </w:r>
          </w:p>
        </w:tc>
      </w:tr>
      <w:tr w:rsidR="00716429" w14:paraId="1DC06CB9" w14:textId="77777777" w:rsidTr="00215A81">
        <w:tc>
          <w:tcPr>
            <w:tcW w:w="0" w:type="auto"/>
          </w:tcPr>
          <w:p w14:paraId="4554B9EB" w14:textId="77777777" w:rsidR="00716429" w:rsidRDefault="00716429" w:rsidP="00215A81">
            <w:r>
              <w:t xml:space="preserve">Structured Online Study </w:t>
            </w:r>
          </w:p>
        </w:tc>
        <w:tc>
          <w:tcPr>
            <w:tcW w:w="0" w:type="auto"/>
          </w:tcPr>
          <w:p w14:paraId="5E6D52CC" w14:textId="77777777" w:rsidR="00716429" w:rsidRDefault="00716429" w:rsidP="00215A81">
            <w:r>
              <w:t>Structured study activities provided either pre- or post- another teaching event as preparation or consolidation. For example, pre-recorded lectures, pre-reading, or online quizzes</w:t>
            </w:r>
          </w:p>
        </w:tc>
        <w:tc>
          <w:tcPr>
            <w:tcW w:w="0" w:type="auto"/>
          </w:tcPr>
          <w:p w14:paraId="230E4190" w14:textId="77777777" w:rsidR="00716429" w:rsidRDefault="00716429" w:rsidP="00215A81">
            <w:r>
              <w:t>Not scheduled in the timetable.</w:t>
            </w:r>
          </w:p>
        </w:tc>
        <w:tc>
          <w:tcPr>
            <w:tcW w:w="0" w:type="auto"/>
          </w:tcPr>
          <w:p w14:paraId="74F608E7" w14:textId="77777777" w:rsidR="00716429" w:rsidRDefault="00716429" w:rsidP="00215A81">
            <w:r>
              <w:t>No room required</w:t>
            </w:r>
          </w:p>
        </w:tc>
      </w:tr>
    </w:tbl>
    <w:p w14:paraId="7A17B0C6" w14:textId="77777777" w:rsidR="00716429" w:rsidRDefault="00716429" w:rsidP="00716429">
      <w:pPr>
        <w:pStyle w:val="Heading3"/>
      </w:pPr>
    </w:p>
    <w:p w14:paraId="79E58547" w14:textId="77777777" w:rsidR="00716429" w:rsidRDefault="00716429" w:rsidP="00716429">
      <w:pPr>
        <w:pStyle w:val="Heading3"/>
      </w:pPr>
      <w:r>
        <w:t>Programme-related Events</w:t>
      </w:r>
    </w:p>
    <w:tbl>
      <w:tblPr>
        <w:tblStyle w:val="TableGrid"/>
        <w:tblW w:w="0" w:type="auto"/>
        <w:tblLook w:val="04A0" w:firstRow="1" w:lastRow="0" w:firstColumn="1" w:lastColumn="0" w:noHBand="0" w:noVBand="1"/>
      </w:tblPr>
      <w:tblGrid>
        <w:gridCol w:w="1436"/>
        <w:gridCol w:w="3118"/>
        <w:gridCol w:w="2810"/>
        <w:gridCol w:w="1652"/>
      </w:tblGrid>
      <w:tr w:rsidR="00716429" w14:paraId="53B12AD9" w14:textId="77777777" w:rsidTr="00215A81">
        <w:tc>
          <w:tcPr>
            <w:tcW w:w="0" w:type="auto"/>
            <w:shd w:val="clear" w:color="auto" w:fill="D0CECE" w:themeFill="background2" w:themeFillShade="E6"/>
          </w:tcPr>
          <w:p w14:paraId="7536DD9D" w14:textId="77777777" w:rsidR="00716429" w:rsidRDefault="00716429" w:rsidP="00215A81">
            <w:r>
              <w:t>Event Type</w:t>
            </w:r>
          </w:p>
        </w:tc>
        <w:tc>
          <w:tcPr>
            <w:tcW w:w="0" w:type="auto"/>
            <w:shd w:val="clear" w:color="auto" w:fill="D0CECE" w:themeFill="background2" w:themeFillShade="E6"/>
          </w:tcPr>
          <w:p w14:paraId="54E0D4BB" w14:textId="77777777" w:rsidR="00716429" w:rsidRDefault="00716429" w:rsidP="00215A81">
            <w:r>
              <w:t>Description</w:t>
            </w:r>
          </w:p>
        </w:tc>
        <w:tc>
          <w:tcPr>
            <w:tcW w:w="0" w:type="auto"/>
            <w:shd w:val="clear" w:color="auto" w:fill="D0CECE" w:themeFill="background2" w:themeFillShade="E6"/>
          </w:tcPr>
          <w:p w14:paraId="504DFE26" w14:textId="77777777" w:rsidR="00716429" w:rsidRDefault="00716429" w:rsidP="00215A81">
            <w:r>
              <w:t>Appearance in Timetable</w:t>
            </w:r>
          </w:p>
        </w:tc>
        <w:tc>
          <w:tcPr>
            <w:tcW w:w="0" w:type="auto"/>
            <w:shd w:val="clear" w:color="auto" w:fill="D0CECE" w:themeFill="background2" w:themeFillShade="E6"/>
          </w:tcPr>
          <w:p w14:paraId="5B1BC714" w14:textId="77777777" w:rsidR="00716429" w:rsidRDefault="00716429" w:rsidP="00215A81">
            <w:r>
              <w:t>Typical Room Allocation</w:t>
            </w:r>
          </w:p>
        </w:tc>
      </w:tr>
      <w:tr w:rsidR="00716429" w14:paraId="50C80CC8" w14:textId="77777777" w:rsidTr="00215A81">
        <w:tc>
          <w:tcPr>
            <w:tcW w:w="0" w:type="auto"/>
          </w:tcPr>
          <w:p w14:paraId="4EC5A5D7" w14:textId="77777777" w:rsidR="00716429" w:rsidRDefault="00716429" w:rsidP="00215A81">
            <w:r>
              <w:t>Academic Tutorial</w:t>
            </w:r>
          </w:p>
        </w:tc>
        <w:tc>
          <w:tcPr>
            <w:tcW w:w="0" w:type="auto"/>
          </w:tcPr>
          <w:p w14:paraId="0F780F3C" w14:textId="77777777" w:rsidR="00716429" w:rsidRDefault="00716429" w:rsidP="00215A81">
            <w:r>
              <w:t>An individual, or small-group session led by an Academic Personal Tutor</w:t>
            </w:r>
          </w:p>
        </w:tc>
        <w:tc>
          <w:tcPr>
            <w:tcW w:w="0" w:type="auto"/>
          </w:tcPr>
          <w:p w14:paraId="0BED3A61" w14:textId="77777777" w:rsidR="00716429" w:rsidRDefault="00716429" w:rsidP="00215A81">
            <w:r>
              <w:t>Scheduled in the timetable as event type ‘ACADEMIC TUTORIAL’</w:t>
            </w:r>
          </w:p>
        </w:tc>
        <w:tc>
          <w:tcPr>
            <w:tcW w:w="0" w:type="auto"/>
          </w:tcPr>
          <w:p w14:paraId="26E55CF4" w14:textId="77777777" w:rsidR="00716429" w:rsidRDefault="00716429" w:rsidP="00215A81">
            <w:r>
              <w:t>Standard teaching rooms;</w:t>
            </w:r>
          </w:p>
          <w:p w14:paraId="482BBB95" w14:textId="77777777" w:rsidR="00716429" w:rsidRDefault="00716429" w:rsidP="00215A81"/>
        </w:tc>
      </w:tr>
      <w:tr w:rsidR="00716429" w14:paraId="2E2C72E2" w14:textId="77777777" w:rsidTr="00215A81">
        <w:tc>
          <w:tcPr>
            <w:tcW w:w="0" w:type="auto"/>
          </w:tcPr>
          <w:p w14:paraId="259F43B4" w14:textId="77777777" w:rsidR="00716429" w:rsidRDefault="00716429" w:rsidP="00215A81">
            <w:r>
              <w:t>Careers Event</w:t>
            </w:r>
          </w:p>
        </w:tc>
        <w:tc>
          <w:tcPr>
            <w:tcW w:w="0" w:type="auto"/>
          </w:tcPr>
          <w:p w14:paraId="69F50B35" w14:textId="77A71B1C" w:rsidR="00716429" w:rsidRDefault="002A613D" w:rsidP="00215A81">
            <w:r>
              <w:t>Events organised by the Enterprise and Employability team</w:t>
            </w:r>
          </w:p>
        </w:tc>
        <w:tc>
          <w:tcPr>
            <w:tcW w:w="0" w:type="auto"/>
          </w:tcPr>
          <w:p w14:paraId="78BBE0A5" w14:textId="5CC1139E" w:rsidR="00716429" w:rsidRDefault="00716429" w:rsidP="00215A81">
            <w:r>
              <w:t>Scheduled in the timetable as event type ‘</w:t>
            </w:r>
            <w:r w:rsidR="00292983">
              <w:t>CAREERS EVENT</w:t>
            </w:r>
            <w:r>
              <w:t>’</w:t>
            </w:r>
          </w:p>
        </w:tc>
        <w:tc>
          <w:tcPr>
            <w:tcW w:w="0" w:type="auto"/>
          </w:tcPr>
          <w:p w14:paraId="5AA60576" w14:textId="77777777" w:rsidR="00716429" w:rsidRDefault="00716429" w:rsidP="00215A81">
            <w:r>
              <w:t>No room required.</w:t>
            </w:r>
          </w:p>
        </w:tc>
      </w:tr>
      <w:tr w:rsidR="00716429" w14:paraId="10D02807" w14:textId="77777777" w:rsidTr="00215A81">
        <w:tc>
          <w:tcPr>
            <w:tcW w:w="0" w:type="auto"/>
          </w:tcPr>
          <w:p w14:paraId="7A401AF8" w14:textId="77777777" w:rsidR="00716429" w:rsidRDefault="00716429" w:rsidP="00215A81">
            <w:r>
              <w:t>Welcome Week</w:t>
            </w:r>
          </w:p>
        </w:tc>
        <w:tc>
          <w:tcPr>
            <w:tcW w:w="0" w:type="auto"/>
          </w:tcPr>
          <w:p w14:paraId="08579841" w14:textId="264A223F" w:rsidR="00716429" w:rsidRDefault="002A613D" w:rsidP="00215A81">
            <w:r>
              <w:t>Introductory events organised during Welcome Week (week 0)</w:t>
            </w:r>
          </w:p>
        </w:tc>
        <w:tc>
          <w:tcPr>
            <w:tcW w:w="0" w:type="auto"/>
          </w:tcPr>
          <w:p w14:paraId="2378A858" w14:textId="77777777" w:rsidR="00716429" w:rsidRDefault="00716429" w:rsidP="00215A81">
            <w:r>
              <w:t>Scheduled in the timetable as event type ‘WELCOME WEEK’</w:t>
            </w:r>
          </w:p>
        </w:tc>
        <w:tc>
          <w:tcPr>
            <w:tcW w:w="0" w:type="auto"/>
          </w:tcPr>
          <w:p w14:paraId="66DEEA52" w14:textId="77777777" w:rsidR="00716429" w:rsidRDefault="00716429" w:rsidP="00215A81">
            <w:r>
              <w:t>Standard teaching rooms;</w:t>
            </w:r>
          </w:p>
        </w:tc>
      </w:tr>
    </w:tbl>
    <w:p w14:paraId="1C9C5F06" w14:textId="77777777" w:rsidR="00716429" w:rsidRDefault="00716429" w:rsidP="00716429">
      <w:pPr>
        <w:pStyle w:val="Heading3"/>
      </w:pPr>
    </w:p>
    <w:p w14:paraId="1FC0716A" w14:textId="414E34F8" w:rsidR="00716429" w:rsidRDefault="008F6188" w:rsidP="008F6188">
      <w:pPr>
        <w:pStyle w:val="Heading2"/>
      </w:pPr>
      <w:r>
        <w:t>Timetabling Practice</w:t>
      </w:r>
    </w:p>
    <w:p w14:paraId="7052E7C8" w14:textId="690781F5" w:rsidR="00215A81" w:rsidRDefault="00215A81" w:rsidP="00215A81">
      <w:r>
        <w:t>There are five stages to the timetabling process</w:t>
      </w:r>
    </w:p>
    <w:p w14:paraId="6011904F" w14:textId="66059BBF" w:rsidR="00215A81" w:rsidRDefault="00215A81" w:rsidP="00215A81">
      <w:pPr>
        <w:pStyle w:val="ListParagraph"/>
        <w:numPr>
          <w:ilvl w:val="0"/>
          <w:numId w:val="13"/>
        </w:numPr>
      </w:pPr>
      <w:r>
        <w:t>Data collection (1-2 weeks)</w:t>
      </w:r>
    </w:p>
    <w:p w14:paraId="0034DA10" w14:textId="442EAF62" w:rsidR="00215A81" w:rsidRDefault="00215A81" w:rsidP="00215A81">
      <w:pPr>
        <w:pStyle w:val="ListParagraph"/>
        <w:numPr>
          <w:ilvl w:val="0"/>
          <w:numId w:val="13"/>
        </w:numPr>
      </w:pPr>
      <w:r>
        <w:t>Draft timetable construction (4weeks)</w:t>
      </w:r>
    </w:p>
    <w:p w14:paraId="4E0B14B9" w14:textId="5F2BA67C" w:rsidR="00215A81" w:rsidRDefault="000A03C1" w:rsidP="00215A81">
      <w:pPr>
        <w:pStyle w:val="ListParagraph"/>
        <w:numPr>
          <w:ilvl w:val="0"/>
          <w:numId w:val="13"/>
        </w:numPr>
      </w:pPr>
      <w:r>
        <w:t>Release of draft timetable for comment (1-2 weeks)</w:t>
      </w:r>
    </w:p>
    <w:p w14:paraId="289EC880" w14:textId="112BF8B8" w:rsidR="000A03C1" w:rsidRDefault="000A03C1" w:rsidP="00215A81">
      <w:pPr>
        <w:pStyle w:val="ListParagraph"/>
        <w:numPr>
          <w:ilvl w:val="0"/>
          <w:numId w:val="13"/>
        </w:numPr>
      </w:pPr>
      <w:r>
        <w:t>Final timetable construction (1-2 weeks)</w:t>
      </w:r>
    </w:p>
    <w:p w14:paraId="5EF15853" w14:textId="3262441E" w:rsidR="000A03C1" w:rsidRDefault="000A03C1" w:rsidP="00215A81">
      <w:pPr>
        <w:pStyle w:val="ListParagraph"/>
        <w:numPr>
          <w:ilvl w:val="0"/>
          <w:numId w:val="13"/>
        </w:numPr>
      </w:pPr>
      <w:r>
        <w:t>Publication of final comprehensive timetable</w:t>
      </w:r>
    </w:p>
    <w:p w14:paraId="7EDBF32F" w14:textId="16C2B245" w:rsidR="000A03C1" w:rsidRDefault="000A03C1" w:rsidP="000A03C1">
      <w:pPr>
        <w:pStyle w:val="Heading3"/>
      </w:pPr>
      <w:r>
        <w:t>Data Collection</w:t>
      </w:r>
    </w:p>
    <w:p w14:paraId="3CFBC326" w14:textId="11D36235" w:rsidR="000A03C1" w:rsidRDefault="000A03C1" w:rsidP="000A03C1">
      <w:r>
        <w:lastRenderedPageBreak/>
        <w:t xml:space="preserve">A data collection spreadsheet, and instructional email, will be circulated to Heads of School and Programme Leaders. </w:t>
      </w:r>
    </w:p>
    <w:p w14:paraId="706BF6FF" w14:textId="756B3C41" w:rsidR="000A03C1" w:rsidRDefault="000A03C1" w:rsidP="000A03C1">
      <w:r>
        <w:t>Academic staff are responsible for filling in the following information within the data collection spreadsheet:</w:t>
      </w:r>
    </w:p>
    <w:p w14:paraId="78EF8F11" w14:textId="3C1CA366" w:rsidR="000A03C1" w:rsidRDefault="000A03C1" w:rsidP="000A03C1">
      <w:pPr>
        <w:pStyle w:val="ListParagraph"/>
        <w:numPr>
          <w:ilvl w:val="0"/>
          <w:numId w:val="14"/>
        </w:numPr>
      </w:pPr>
      <w:r>
        <w:t>The event category for the event</w:t>
      </w:r>
    </w:p>
    <w:p w14:paraId="195077E3" w14:textId="1EE32BBC" w:rsidR="000A03C1" w:rsidRDefault="000A03C1" w:rsidP="000A03C1">
      <w:pPr>
        <w:pStyle w:val="ListParagraph"/>
        <w:numPr>
          <w:ilvl w:val="0"/>
          <w:numId w:val="14"/>
        </w:numPr>
      </w:pPr>
      <w:r>
        <w:t>The event duration if it differs from the standard timeframes per event type</w:t>
      </w:r>
    </w:p>
    <w:p w14:paraId="3F140AEB" w14:textId="4BEF4B48" w:rsidR="000A03C1" w:rsidRDefault="000A03C1" w:rsidP="000A03C1">
      <w:pPr>
        <w:pStyle w:val="ListParagraph"/>
        <w:numPr>
          <w:ilvl w:val="0"/>
          <w:numId w:val="14"/>
        </w:numPr>
      </w:pPr>
      <w:r>
        <w:t>Numbers of teaching weeks required for the module per event type</w:t>
      </w:r>
    </w:p>
    <w:p w14:paraId="7EF3AFD6" w14:textId="12578B1D" w:rsidR="000A03C1" w:rsidRDefault="000A03C1" w:rsidP="000A03C1">
      <w:pPr>
        <w:pStyle w:val="ListParagraph"/>
        <w:numPr>
          <w:ilvl w:val="0"/>
          <w:numId w:val="14"/>
        </w:numPr>
      </w:pPr>
      <w:r>
        <w:t>The room(s) required for face- to- face event type</w:t>
      </w:r>
    </w:p>
    <w:p w14:paraId="65AD961B" w14:textId="1A6F10A9" w:rsidR="000A03C1" w:rsidRDefault="000A03C1" w:rsidP="000A03C1">
      <w:pPr>
        <w:pStyle w:val="ListParagraph"/>
        <w:numPr>
          <w:ilvl w:val="0"/>
          <w:numId w:val="14"/>
        </w:numPr>
      </w:pPr>
      <w:r>
        <w:t>The staff member teaching on the module and the week(s) they will be     teaching</w:t>
      </w:r>
    </w:p>
    <w:p w14:paraId="72A83167" w14:textId="229AD289" w:rsidR="000A03C1" w:rsidRDefault="000A03C1" w:rsidP="000A03C1">
      <w:pPr>
        <w:pStyle w:val="ListParagraph"/>
        <w:numPr>
          <w:ilvl w:val="0"/>
          <w:numId w:val="14"/>
        </w:numPr>
      </w:pPr>
      <w:r>
        <w:t>Any additional information that could help or hinder the timetabling process</w:t>
      </w:r>
    </w:p>
    <w:p w14:paraId="288B8878" w14:textId="214ECAEB" w:rsidR="000A03C1" w:rsidRDefault="000A03C1" w:rsidP="000A03C1">
      <w:r>
        <w:t>Where information provided by academic staff is inconsistent with the distribution of learning and teaching hours detailed in the approved module specifications, the module specification will take precedence.</w:t>
      </w:r>
    </w:p>
    <w:p w14:paraId="66CB5DDA" w14:textId="398B0DFF" w:rsidR="00D72E3F" w:rsidRPr="00215A81" w:rsidRDefault="00D72E3F" w:rsidP="000A03C1">
      <w:r>
        <w:t>Any restrictions arising from academic staff contracts will be identified directly from Human Resources and incorporated into the timetabling requirements in advance.</w:t>
      </w:r>
    </w:p>
    <w:p w14:paraId="6F4EB69B" w14:textId="143C71D8" w:rsidR="00716429" w:rsidRDefault="000A03C1" w:rsidP="000A03C1">
      <w:pPr>
        <w:pStyle w:val="Heading3"/>
      </w:pPr>
      <w:r>
        <w:t>Draft Timetable Construction</w:t>
      </w:r>
    </w:p>
    <w:p w14:paraId="6DE83366" w14:textId="2D83B692" w:rsidR="000A03C1" w:rsidRDefault="000A03C1" w:rsidP="00D24C21">
      <w:r>
        <w:t>The draft timetable will be produced using the relevant module specifications, and the information obtained from the data collection.</w:t>
      </w:r>
    </w:p>
    <w:p w14:paraId="38FDD2C2" w14:textId="3F7B1896" w:rsidR="00473B4B" w:rsidRDefault="00473B4B" w:rsidP="00D57E26">
      <w:r>
        <w:t>Global events will be pre-populated into the timetable, including:</w:t>
      </w:r>
    </w:p>
    <w:p w14:paraId="10ABB581" w14:textId="61FB27DB" w:rsidR="00473B4B" w:rsidRDefault="00473B4B" w:rsidP="00473B4B">
      <w:pPr>
        <w:pStyle w:val="ListParagraph"/>
        <w:numPr>
          <w:ilvl w:val="0"/>
          <w:numId w:val="19"/>
        </w:numPr>
      </w:pPr>
      <w:r>
        <w:t>Graduation</w:t>
      </w:r>
    </w:p>
    <w:p w14:paraId="0A04332F" w14:textId="54ED6297" w:rsidR="00473B4B" w:rsidRDefault="00473B4B" w:rsidP="00473B4B">
      <w:pPr>
        <w:pStyle w:val="ListParagraph"/>
        <w:numPr>
          <w:ilvl w:val="0"/>
          <w:numId w:val="19"/>
        </w:numPr>
      </w:pPr>
      <w:r>
        <w:t xml:space="preserve">Open </w:t>
      </w:r>
      <w:r w:rsidR="00870700">
        <w:t>d</w:t>
      </w:r>
      <w:r>
        <w:t>ays</w:t>
      </w:r>
      <w:r w:rsidR="00870700">
        <w:t xml:space="preserve"> and offer holder days</w:t>
      </w:r>
    </w:p>
    <w:p w14:paraId="493EBE32" w14:textId="664E113A" w:rsidR="00870700" w:rsidRDefault="00870700" w:rsidP="00473B4B">
      <w:pPr>
        <w:pStyle w:val="ListParagraph"/>
        <w:numPr>
          <w:ilvl w:val="0"/>
          <w:numId w:val="19"/>
        </w:numPr>
      </w:pPr>
      <w:r>
        <w:t>RAG week</w:t>
      </w:r>
    </w:p>
    <w:p w14:paraId="430295E3" w14:textId="01411636" w:rsidR="00D57E26" w:rsidRDefault="00D57E26" w:rsidP="00D57E26">
      <w:r>
        <w:t>Requirements and restrictions for each event will be prioritised based on the prioritised objectives above.</w:t>
      </w:r>
    </w:p>
    <w:p w14:paraId="78CE799E" w14:textId="553D0705" w:rsidR="00D72E3F" w:rsidRDefault="00D57E26" w:rsidP="00D24C21">
      <w:r>
        <w:t>Core modules will be timetabled to ensure there are no clashes.</w:t>
      </w:r>
    </w:p>
    <w:p w14:paraId="03BE02F2" w14:textId="4D4FC662" w:rsidR="00D72E3F" w:rsidRDefault="00D72E3F" w:rsidP="00D24C21">
      <w:r>
        <w:t xml:space="preserve">Elective modules will be timetabled </w:t>
      </w:r>
      <w:r w:rsidR="00D57E26">
        <w:t xml:space="preserve">to ensure there are no clashes </w:t>
      </w:r>
      <w:r>
        <w:t xml:space="preserve">using student registration data from </w:t>
      </w:r>
      <w:r w:rsidR="00D57E26">
        <w:t>‘Plan Curriculum’. Where a clash between elective modules is unavoidable the best possible solution will be identified in consultation with the programme Leader.</w:t>
      </w:r>
    </w:p>
    <w:p w14:paraId="087A8395" w14:textId="16461901" w:rsidR="00D57E26" w:rsidRDefault="00D57E26" w:rsidP="00D24C21">
      <w:r>
        <w:t>Elective modules with fewer than 12 students, based on ‘Plan Curriculum’ will not be timetabled.</w:t>
      </w:r>
    </w:p>
    <w:p w14:paraId="1A39FB6E" w14:textId="271649F2" w:rsidR="00D57E26" w:rsidRDefault="00487A48" w:rsidP="00D24C21">
      <w:r>
        <w:t>Examples of practical and pedagogical requirements that may be considered, in accordance with the prioritised objectives above:</w:t>
      </w:r>
    </w:p>
    <w:p w14:paraId="2727DD8C" w14:textId="77777777" w:rsidR="00487A48" w:rsidRDefault="00D57E26" w:rsidP="00D57E26">
      <w:pPr>
        <w:pStyle w:val="ListParagraph"/>
        <w:numPr>
          <w:ilvl w:val="0"/>
          <w:numId w:val="16"/>
        </w:numPr>
      </w:pPr>
      <w:r>
        <w:t xml:space="preserve">Requests for </w:t>
      </w:r>
      <w:r w:rsidR="00487A48">
        <w:t xml:space="preserve">a </w:t>
      </w:r>
      <w:r>
        <w:t>shared teaching</w:t>
      </w:r>
      <w:r w:rsidR="00487A48">
        <w:t xml:space="preserve"> event across two or more modules</w:t>
      </w:r>
    </w:p>
    <w:p w14:paraId="581C83D6" w14:textId="2C5CD74A" w:rsidR="00487A48" w:rsidRDefault="00487A48" w:rsidP="00D57E26">
      <w:pPr>
        <w:pStyle w:val="ListParagraph"/>
        <w:numPr>
          <w:ilvl w:val="0"/>
          <w:numId w:val="16"/>
        </w:numPr>
      </w:pPr>
      <w:r>
        <w:t>Requests for fieldwork or study visits to take place at a specific time of day</w:t>
      </w:r>
      <w:r w:rsidR="00183510">
        <w:t xml:space="preserve"> (e.g. to maximise daylight)</w:t>
      </w:r>
    </w:p>
    <w:p w14:paraId="52CAA094" w14:textId="33BAD64C" w:rsidR="00487A48" w:rsidRDefault="00487A48" w:rsidP="00487A48">
      <w:r>
        <w:lastRenderedPageBreak/>
        <w:t>Examples of academic staff preferences that may be considered, in accordance with the prioritised objectives above:</w:t>
      </w:r>
    </w:p>
    <w:p w14:paraId="21BBEEB6" w14:textId="0B213EAA" w:rsidR="00487A48" w:rsidRDefault="00487A48" w:rsidP="00487A48">
      <w:pPr>
        <w:pStyle w:val="ListParagraph"/>
        <w:numPr>
          <w:ilvl w:val="0"/>
          <w:numId w:val="17"/>
        </w:numPr>
      </w:pPr>
      <w:r>
        <w:t>Requests for a specific time of day</w:t>
      </w:r>
      <w:r w:rsidR="00183510">
        <w:t xml:space="preserve"> (e.g. to accommodate commuting)</w:t>
      </w:r>
    </w:p>
    <w:p w14:paraId="13EB3476" w14:textId="4E718D82" w:rsidR="00487A48" w:rsidRDefault="00487A48" w:rsidP="00487A48">
      <w:pPr>
        <w:pStyle w:val="ListParagraph"/>
        <w:numPr>
          <w:ilvl w:val="0"/>
          <w:numId w:val="17"/>
        </w:numPr>
      </w:pPr>
      <w:r>
        <w:t>Requests for a specific day of the week (other than contractual requests)</w:t>
      </w:r>
    </w:p>
    <w:p w14:paraId="110698B9" w14:textId="58270D74" w:rsidR="000A03C1" w:rsidRDefault="000A03C1" w:rsidP="000A03C1">
      <w:pPr>
        <w:pStyle w:val="Heading3"/>
      </w:pPr>
      <w:r>
        <w:t>Release of Draft Timetable for Comment</w:t>
      </w:r>
    </w:p>
    <w:p w14:paraId="63100E3A" w14:textId="70A30F7F" w:rsidR="000A03C1" w:rsidRDefault="000A03C1" w:rsidP="000A03C1">
      <w:r>
        <w:t xml:space="preserve">The draft timetable will be circulated to </w:t>
      </w:r>
      <w:r w:rsidR="00D57E26">
        <w:t>academic staff</w:t>
      </w:r>
      <w:r>
        <w:t xml:space="preserve"> </w:t>
      </w:r>
      <w:r w:rsidR="00D72E3F">
        <w:t xml:space="preserve">to review and request any changes. Change requests must be submitted using the change request form to </w:t>
      </w:r>
      <w:hyperlink r:id="rId14" w:history="1">
        <w:r w:rsidR="00D72E3F" w:rsidRPr="007A00B4">
          <w:rPr>
            <w:rStyle w:val="Hyperlink"/>
          </w:rPr>
          <w:t>timetabling@rau.ac.uk</w:t>
        </w:r>
      </w:hyperlink>
      <w:r w:rsidR="00D72E3F">
        <w:t>.</w:t>
      </w:r>
    </w:p>
    <w:p w14:paraId="6D3C059C" w14:textId="21F22F5F" w:rsidR="000A03C1" w:rsidRDefault="000A03C1" w:rsidP="000A03C1">
      <w:pPr>
        <w:pStyle w:val="Heading3"/>
      </w:pPr>
      <w:r>
        <w:t>Final Timetable Construction</w:t>
      </w:r>
    </w:p>
    <w:p w14:paraId="38A0BA1E" w14:textId="026D522B" w:rsidR="000A03C1" w:rsidRDefault="00D57E26" w:rsidP="00D72E3F">
      <w:r>
        <w:t>C</w:t>
      </w:r>
      <w:r w:rsidR="00D72E3F">
        <w:t>hange requests will be incorporated where possible</w:t>
      </w:r>
      <w:r>
        <w:t>,</w:t>
      </w:r>
      <w:r w:rsidR="00D72E3F">
        <w:t xml:space="preserve"> </w:t>
      </w:r>
      <w:r>
        <w:t xml:space="preserve">and only </w:t>
      </w:r>
      <w:r w:rsidR="00D72E3F">
        <w:t>in accordance with the prioritised objectives above. Where a change request cannot be accommodated the relevant academic will be informed.</w:t>
      </w:r>
    </w:p>
    <w:p w14:paraId="11EFFC04" w14:textId="4A656931" w:rsidR="000A03C1" w:rsidRDefault="000A03C1" w:rsidP="000A03C1">
      <w:pPr>
        <w:pStyle w:val="Heading3"/>
      </w:pPr>
      <w:r>
        <w:t>Publication of Final Comprehensive Timetable</w:t>
      </w:r>
    </w:p>
    <w:p w14:paraId="2F815A03" w14:textId="54CC43E4" w:rsidR="00D72E3F" w:rsidRDefault="00D72E3F" w:rsidP="00D72E3F">
      <w:r>
        <w:t xml:space="preserve">The final, comprehensive timetable will be published to registered students six weeks </w:t>
      </w:r>
      <w:r w:rsidR="00D57E26">
        <w:t xml:space="preserve">prior </w:t>
      </w:r>
      <w:r>
        <w:t>to the start of the academic year.</w:t>
      </w:r>
    </w:p>
    <w:p w14:paraId="3B5567A8" w14:textId="23B259A4" w:rsidR="00501346" w:rsidRDefault="00501346" w:rsidP="00501346">
      <w:pPr>
        <w:pStyle w:val="Heading2"/>
      </w:pPr>
      <w:r>
        <w:t>Changes to the Published Timetable</w:t>
      </w:r>
    </w:p>
    <w:p w14:paraId="0C259C95" w14:textId="4B39D1FC" w:rsidR="00501346" w:rsidRDefault="00501346" w:rsidP="00501346">
      <w:r>
        <w:t>Changes to the published timetable have a negative impact on the student experience and a knock-on effect on other scheduled activity. As a result, and in accordance with the prioritised objectives above, changes to the published timetable must be avoided.</w:t>
      </w:r>
    </w:p>
    <w:p w14:paraId="7942D88C" w14:textId="49D68835" w:rsidR="00501346" w:rsidRDefault="00501346" w:rsidP="00501346">
      <w:r>
        <w:t>Changes to the timetable may be required, for example, where:</w:t>
      </w:r>
    </w:p>
    <w:p w14:paraId="463426A8" w14:textId="7DF5F5E2" w:rsidR="00501346" w:rsidRDefault="00501346" w:rsidP="00501346">
      <w:pPr>
        <w:pStyle w:val="ListParagraph"/>
        <w:numPr>
          <w:ilvl w:val="0"/>
          <w:numId w:val="18"/>
        </w:numPr>
      </w:pPr>
      <w:r>
        <w:t>Actual student numbers exceed room capacity</w:t>
      </w:r>
    </w:p>
    <w:p w14:paraId="6B89E4A0" w14:textId="2743DA3D" w:rsidR="00501346" w:rsidRDefault="00501346" w:rsidP="00501346">
      <w:pPr>
        <w:pStyle w:val="ListParagraph"/>
        <w:numPr>
          <w:ilvl w:val="0"/>
          <w:numId w:val="18"/>
        </w:numPr>
      </w:pPr>
      <w:r>
        <w:t>Teaching activity is reassigned to another lecturer due to staff illness</w:t>
      </w:r>
    </w:p>
    <w:p w14:paraId="33EC5D05" w14:textId="52DCA33A" w:rsidR="00501346" w:rsidRDefault="00501346" w:rsidP="00501346">
      <w:pPr>
        <w:pStyle w:val="ListParagraph"/>
        <w:numPr>
          <w:ilvl w:val="0"/>
          <w:numId w:val="18"/>
        </w:numPr>
      </w:pPr>
      <w:r>
        <w:t xml:space="preserve">Force majeure, reasons outside of the University’s control </w:t>
      </w:r>
    </w:p>
    <w:p w14:paraId="756ECB6C" w14:textId="037DC1FD" w:rsidR="00501346" w:rsidRDefault="00501346" w:rsidP="00501346">
      <w:r>
        <w:t>Changes</w:t>
      </w:r>
      <w:r w:rsidR="00EC65D0">
        <w:t xml:space="preserve"> to the published timetable </w:t>
      </w:r>
      <w:r w:rsidR="00BF0484">
        <w:t xml:space="preserve">(including proposed cancellations) must be submitted using the change request form to </w:t>
      </w:r>
      <w:hyperlink r:id="rId15" w:history="1">
        <w:r w:rsidR="00BF0484" w:rsidRPr="007A00B4">
          <w:rPr>
            <w:rStyle w:val="Hyperlink"/>
          </w:rPr>
          <w:t>timetabling@rau.ac.uk</w:t>
        </w:r>
      </w:hyperlink>
      <w:r w:rsidR="00BF0484">
        <w:t>.</w:t>
      </w:r>
    </w:p>
    <w:p w14:paraId="74769131" w14:textId="05E8DB5B" w:rsidR="00BF0484" w:rsidRDefault="00BF0484" w:rsidP="00501346">
      <w:r>
        <w:t xml:space="preserve">Requests to cancel an event must be avoided. Change requests to cancel an event should clearly demonstrate that alternative avenues have been explored, and when the event </w:t>
      </w:r>
      <w:r w:rsidR="001D5704">
        <w:t>can take place.</w:t>
      </w:r>
    </w:p>
    <w:p w14:paraId="2AD6817E" w14:textId="4B579F95" w:rsidR="00BF0484" w:rsidRDefault="00BF0484" w:rsidP="00501346">
      <w:r>
        <w:t>Where a change is approved, the member of academic staff is responsible for contacting students to notify them that a change has been made to the published timetable. Students should only be contacted once a change has been approved and the published timetable has been updated.</w:t>
      </w:r>
    </w:p>
    <w:p w14:paraId="7B91F72F" w14:textId="5A167D99" w:rsidR="001D5704" w:rsidRDefault="001D5704" w:rsidP="00501346">
      <w:r>
        <w:t xml:space="preserve">Change requests may be rejected where they would unreasonably compromise the prioritised objectives above. Where a module leader is dissatisfied with the outcome </w:t>
      </w:r>
      <w:r>
        <w:lastRenderedPageBreak/>
        <w:t>of a change request they may raise this with t he Director of Academic Services for review.</w:t>
      </w:r>
    </w:p>
    <w:p w14:paraId="4DEB5699" w14:textId="09B6F813" w:rsidR="001D5704" w:rsidRDefault="001D5704" w:rsidP="00501346">
      <w:r>
        <w:t>Academic Services will maintain a record of changes to the published timetable.</w:t>
      </w:r>
    </w:p>
    <w:p w14:paraId="6C557A98" w14:textId="77777777" w:rsidR="00BF0484" w:rsidRDefault="00BF0484" w:rsidP="00501346"/>
    <w:p w14:paraId="135C4970" w14:textId="05F136E6" w:rsidR="00BF0484" w:rsidRPr="00501346" w:rsidRDefault="00BF0484" w:rsidP="00501346"/>
    <w:sectPr w:rsidR="00BF0484" w:rsidRPr="005013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496DC" w14:textId="77777777" w:rsidR="005F03A4" w:rsidRDefault="005F03A4" w:rsidP="00F8633C">
      <w:pPr>
        <w:spacing w:after="0" w:line="240" w:lineRule="auto"/>
      </w:pPr>
      <w:r>
        <w:separator/>
      </w:r>
    </w:p>
  </w:endnote>
  <w:endnote w:type="continuationSeparator" w:id="0">
    <w:p w14:paraId="2D34DC7F" w14:textId="77777777" w:rsidR="005F03A4" w:rsidRDefault="005F03A4" w:rsidP="00F8633C">
      <w:pPr>
        <w:spacing w:after="0" w:line="240" w:lineRule="auto"/>
      </w:pPr>
      <w:r>
        <w:continuationSeparator/>
      </w:r>
    </w:p>
  </w:endnote>
  <w:endnote w:type="continuationNotice" w:id="1">
    <w:p w14:paraId="56178FA9" w14:textId="77777777" w:rsidR="005F03A4" w:rsidRDefault="005F0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803C" w14:textId="78492CA6" w:rsidR="00ED5130" w:rsidRDefault="00ED5130" w:rsidP="00F8633C">
    <w:pPr>
      <w:pStyle w:val="Footer"/>
      <w:jc w:val="center"/>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5D6C3" w14:textId="77777777" w:rsidR="005F03A4" w:rsidRDefault="005F03A4" w:rsidP="00F8633C">
      <w:pPr>
        <w:spacing w:after="0" w:line="240" w:lineRule="auto"/>
      </w:pPr>
      <w:r>
        <w:separator/>
      </w:r>
    </w:p>
  </w:footnote>
  <w:footnote w:type="continuationSeparator" w:id="0">
    <w:p w14:paraId="5A06B312" w14:textId="77777777" w:rsidR="005F03A4" w:rsidRDefault="005F03A4" w:rsidP="00F8633C">
      <w:pPr>
        <w:spacing w:after="0" w:line="240" w:lineRule="auto"/>
      </w:pPr>
      <w:r>
        <w:continuationSeparator/>
      </w:r>
    </w:p>
  </w:footnote>
  <w:footnote w:type="continuationNotice" w:id="1">
    <w:p w14:paraId="6FBBA1D6" w14:textId="77777777" w:rsidR="005F03A4" w:rsidRDefault="005F03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DA2E7" w14:textId="711FDAF9" w:rsidR="00ED5130" w:rsidRPr="00115965" w:rsidRDefault="00ED5130" w:rsidP="00F8633C">
    <w:pPr>
      <w:jc w:val="right"/>
    </w:pPr>
    <w:r>
      <w:t>C – Learning and Teaching</w:t>
    </w:r>
  </w:p>
  <w:p w14:paraId="1BB31791" w14:textId="77777777" w:rsidR="00ED5130" w:rsidRDefault="00ED5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5EFA" w14:textId="75166589" w:rsidR="00ED5130" w:rsidRPr="00F8633C" w:rsidRDefault="00ED5130" w:rsidP="00F8633C">
    <w:pPr>
      <w:pStyle w:val="Title"/>
      <w:rPr>
        <w:sz w:val="160"/>
        <w:szCs w:val="160"/>
      </w:rPr>
    </w:pPr>
    <w:r w:rsidRPr="00871074">
      <w:rPr>
        <w:noProof/>
      </w:rPr>
      <w:drawing>
        <wp:anchor distT="0" distB="0" distL="114300" distR="114300" simplePos="0" relativeHeight="251658240" behindDoc="1" locked="0" layoutInCell="1" allowOverlap="1" wp14:anchorId="1DC4FC01" wp14:editId="29047F3E">
          <wp:simplePos x="0" y="0"/>
          <wp:positionH relativeFrom="column">
            <wp:posOffset>0</wp:posOffset>
          </wp:positionH>
          <wp:positionV relativeFrom="page">
            <wp:posOffset>629920</wp:posOffset>
          </wp:positionV>
          <wp:extent cx="1522730" cy="828675"/>
          <wp:effectExtent l="0" t="0" r="1270" b="9525"/>
          <wp:wrapTight wrapText="bothSides">
            <wp:wrapPolygon edited="0">
              <wp:start x="1892" y="0"/>
              <wp:lineTo x="0" y="3476"/>
              <wp:lineTo x="0" y="20855"/>
              <wp:lineTo x="17565" y="21352"/>
              <wp:lineTo x="19456" y="21352"/>
              <wp:lineTo x="19997" y="16386"/>
              <wp:lineTo x="21348" y="14897"/>
              <wp:lineTo x="21348" y="10924"/>
              <wp:lineTo x="14592" y="7945"/>
              <wp:lineTo x="15133" y="4469"/>
              <wp:lineTo x="13781" y="3476"/>
              <wp:lineTo x="3783" y="0"/>
              <wp:lineTo x="189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U_Logo_Main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828675"/>
                  </a:xfrm>
                  <a:prstGeom prst="rect">
                    <a:avLst/>
                  </a:prstGeom>
                </pic:spPr>
              </pic:pic>
            </a:graphicData>
          </a:graphic>
        </wp:anchor>
      </w:drawing>
    </w:r>
    <w:r>
      <w:rPr>
        <w:sz w:val="160"/>
        <w:szCs w:val="160"/>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3EF9"/>
    <w:multiLevelType w:val="hybridMultilevel"/>
    <w:tmpl w:val="A1A492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A2B35"/>
    <w:multiLevelType w:val="hybridMultilevel"/>
    <w:tmpl w:val="8C32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E64EE"/>
    <w:multiLevelType w:val="hybridMultilevel"/>
    <w:tmpl w:val="B608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97449"/>
    <w:multiLevelType w:val="hybridMultilevel"/>
    <w:tmpl w:val="D4F8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F0A2A"/>
    <w:multiLevelType w:val="hybridMultilevel"/>
    <w:tmpl w:val="8494A0A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4F62AC"/>
    <w:multiLevelType w:val="hybridMultilevel"/>
    <w:tmpl w:val="9FC4B3E0"/>
    <w:lvl w:ilvl="0" w:tplc="74B022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DA0088"/>
    <w:multiLevelType w:val="hybridMultilevel"/>
    <w:tmpl w:val="431C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13A1B"/>
    <w:multiLevelType w:val="hybridMultilevel"/>
    <w:tmpl w:val="9CCC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871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236565"/>
    <w:multiLevelType w:val="hybridMultilevel"/>
    <w:tmpl w:val="173CCE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C849D9"/>
    <w:multiLevelType w:val="hybridMultilevel"/>
    <w:tmpl w:val="BB6C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B13C8"/>
    <w:multiLevelType w:val="hybridMultilevel"/>
    <w:tmpl w:val="2CD0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10DBC"/>
    <w:multiLevelType w:val="hybridMultilevel"/>
    <w:tmpl w:val="0D247D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B232C5"/>
    <w:multiLevelType w:val="hybridMultilevel"/>
    <w:tmpl w:val="EE8E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A524E"/>
    <w:multiLevelType w:val="hybridMultilevel"/>
    <w:tmpl w:val="8D42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0E4268"/>
    <w:multiLevelType w:val="hybridMultilevel"/>
    <w:tmpl w:val="9D48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B36B6"/>
    <w:multiLevelType w:val="hybridMultilevel"/>
    <w:tmpl w:val="8494A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331FE9"/>
    <w:multiLevelType w:val="hybridMultilevel"/>
    <w:tmpl w:val="EF92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C0AEA"/>
    <w:multiLevelType w:val="multilevel"/>
    <w:tmpl w:val="854ADF50"/>
    <w:lvl w:ilvl="0">
      <w:start w:val="4"/>
      <w:numFmt w:val="decimal"/>
      <w:lvlText w:val="%1"/>
      <w:lvlJc w:val="left"/>
      <w:pPr>
        <w:ind w:left="936" w:hanging="720"/>
      </w:pPr>
      <w:rPr>
        <w:rFonts w:hint="default"/>
      </w:rPr>
    </w:lvl>
    <w:lvl w:ilvl="1">
      <w:start w:val="1"/>
      <w:numFmt w:val="decimal"/>
      <w:lvlText w:val="%1.%2."/>
      <w:lvlJc w:val="left"/>
      <w:pPr>
        <w:ind w:left="936" w:hanging="720"/>
      </w:pPr>
      <w:rPr>
        <w:rFonts w:ascii="Arial" w:eastAsia="Arial" w:hAnsi="Arial" w:cs="Arial" w:hint="default"/>
        <w:b/>
        <w:bCs/>
        <w:i w:val="0"/>
        <w:iCs w:val="0"/>
        <w:spacing w:val="-1"/>
        <w:w w:val="100"/>
        <w:sz w:val="24"/>
        <w:szCs w:val="24"/>
      </w:rPr>
    </w:lvl>
    <w:lvl w:ilvl="2">
      <w:start w:val="1"/>
      <w:numFmt w:val="decimal"/>
      <w:lvlText w:val="%1.%2.%3."/>
      <w:lvlJc w:val="left"/>
      <w:pPr>
        <w:ind w:left="1297" w:hanging="1080"/>
      </w:pPr>
      <w:rPr>
        <w:rFonts w:ascii="Arial" w:eastAsia="Arial" w:hAnsi="Arial" w:cs="Arial" w:hint="default"/>
        <w:b w:val="0"/>
        <w:bCs w:val="0"/>
        <w:i w:val="0"/>
        <w:iCs w:val="0"/>
        <w:spacing w:val="-1"/>
        <w:w w:val="100"/>
        <w:sz w:val="24"/>
        <w:szCs w:val="24"/>
      </w:rPr>
    </w:lvl>
    <w:lvl w:ilvl="3">
      <w:numFmt w:val="bullet"/>
      <w:lvlText w:val="•"/>
      <w:lvlJc w:val="left"/>
      <w:pPr>
        <w:ind w:left="2989" w:hanging="1080"/>
      </w:pPr>
      <w:rPr>
        <w:rFonts w:hint="default"/>
      </w:rPr>
    </w:lvl>
    <w:lvl w:ilvl="4">
      <w:numFmt w:val="bullet"/>
      <w:lvlText w:val="•"/>
      <w:lvlJc w:val="left"/>
      <w:pPr>
        <w:ind w:left="3834" w:hanging="1080"/>
      </w:pPr>
      <w:rPr>
        <w:rFonts w:hint="default"/>
      </w:rPr>
    </w:lvl>
    <w:lvl w:ilvl="5">
      <w:numFmt w:val="bullet"/>
      <w:lvlText w:val="•"/>
      <w:lvlJc w:val="left"/>
      <w:pPr>
        <w:ind w:left="4679" w:hanging="1080"/>
      </w:pPr>
      <w:rPr>
        <w:rFonts w:hint="default"/>
      </w:rPr>
    </w:lvl>
    <w:lvl w:ilvl="6">
      <w:numFmt w:val="bullet"/>
      <w:lvlText w:val="•"/>
      <w:lvlJc w:val="left"/>
      <w:pPr>
        <w:ind w:left="5524" w:hanging="1080"/>
      </w:pPr>
      <w:rPr>
        <w:rFonts w:hint="default"/>
      </w:rPr>
    </w:lvl>
    <w:lvl w:ilvl="7">
      <w:numFmt w:val="bullet"/>
      <w:lvlText w:val="•"/>
      <w:lvlJc w:val="left"/>
      <w:pPr>
        <w:ind w:left="6369" w:hanging="1080"/>
      </w:pPr>
      <w:rPr>
        <w:rFonts w:hint="default"/>
      </w:rPr>
    </w:lvl>
    <w:lvl w:ilvl="8">
      <w:numFmt w:val="bullet"/>
      <w:lvlText w:val="•"/>
      <w:lvlJc w:val="left"/>
      <w:pPr>
        <w:ind w:left="7214" w:hanging="1080"/>
      </w:pPr>
      <w:rPr>
        <w:rFonts w:hint="default"/>
      </w:rPr>
    </w:lvl>
  </w:abstractNum>
  <w:num w:numId="1">
    <w:abstractNumId w:val="12"/>
  </w:num>
  <w:num w:numId="2">
    <w:abstractNumId w:val="9"/>
  </w:num>
  <w:num w:numId="3">
    <w:abstractNumId w:val="18"/>
  </w:num>
  <w:num w:numId="4">
    <w:abstractNumId w:val="8"/>
  </w:num>
  <w:num w:numId="5">
    <w:abstractNumId w:val="16"/>
  </w:num>
  <w:num w:numId="6">
    <w:abstractNumId w:val="5"/>
  </w:num>
  <w:num w:numId="7">
    <w:abstractNumId w:val="4"/>
  </w:num>
  <w:num w:numId="8">
    <w:abstractNumId w:val="6"/>
  </w:num>
  <w:num w:numId="9">
    <w:abstractNumId w:val="15"/>
  </w:num>
  <w:num w:numId="10">
    <w:abstractNumId w:val="13"/>
  </w:num>
  <w:num w:numId="11">
    <w:abstractNumId w:val="14"/>
  </w:num>
  <w:num w:numId="12">
    <w:abstractNumId w:val="1"/>
  </w:num>
  <w:num w:numId="13">
    <w:abstractNumId w:val="3"/>
  </w:num>
  <w:num w:numId="14">
    <w:abstractNumId w:val="2"/>
  </w:num>
  <w:num w:numId="15">
    <w:abstractNumId w:val="0"/>
  </w:num>
  <w:num w:numId="16">
    <w:abstractNumId w:val="10"/>
  </w:num>
  <w:num w:numId="17">
    <w:abstractNumId w:val="7"/>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9A"/>
    <w:rsid w:val="00025247"/>
    <w:rsid w:val="000749CD"/>
    <w:rsid w:val="000A03C1"/>
    <w:rsid w:val="000E7828"/>
    <w:rsid w:val="0013416C"/>
    <w:rsid w:val="001352F2"/>
    <w:rsid w:val="00146321"/>
    <w:rsid w:val="00172115"/>
    <w:rsid w:val="00176D0D"/>
    <w:rsid w:val="00183510"/>
    <w:rsid w:val="001D5704"/>
    <w:rsid w:val="00215A81"/>
    <w:rsid w:val="00260228"/>
    <w:rsid w:val="002639A1"/>
    <w:rsid w:val="00285DE4"/>
    <w:rsid w:val="00292983"/>
    <w:rsid w:val="002A613D"/>
    <w:rsid w:val="002C1986"/>
    <w:rsid w:val="003A642A"/>
    <w:rsid w:val="00455B1C"/>
    <w:rsid w:val="00473B4B"/>
    <w:rsid w:val="00487A48"/>
    <w:rsid w:val="00501346"/>
    <w:rsid w:val="00503CD6"/>
    <w:rsid w:val="005F03A4"/>
    <w:rsid w:val="00635D89"/>
    <w:rsid w:val="00716429"/>
    <w:rsid w:val="00751EC3"/>
    <w:rsid w:val="007D6031"/>
    <w:rsid w:val="0082239A"/>
    <w:rsid w:val="00825D1E"/>
    <w:rsid w:val="00870700"/>
    <w:rsid w:val="008841E3"/>
    <w:rsid w:val="008F6188"/>
    <w:rsid w:val="00A456B9"/>
    <w:rsid w:val="00AB3CDD"/>
    <w:rsid w:val="00AE129A"/>
    <w:rsid w:val="00AF211F"/>
    <w:rsid w:val="00AF3FD2"/>
    <w:rsid w:val="00B01599"/>
    <w:rsid w:val="00B438B7"/>
    <w:rsid w:val="00B57506"/>
    <w:rsid w:val="00BA6A5D"/>
    <w:rsid w:val="00BF0484"/>
    <w:rsid w:val="00BF3075"/>
    <w:rsid w:val="00D24C21"/>
    <w:rsid w:val="00D4328E"/>
    <w:rsid w:val="00D57E26"/>
    <w:rsid w:val="00D72E3F"/>
    <w:rsid w:val="00E50003"/>
    <w:rsid w:val="00E74A5E"/>
    <w:rsid w:val="00EC5B11"/>
    <w:rsid w:val="00EC65D0"/>
    <w:rsid w:val="00ED5130"/>
    <w:rsid w:val="00F20D0F"/>
    <w:rsid w:val="00F8633C"/>
    <w:rsid w:val="00FB3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27E2"/>
  <w15:chartTrackingRefBased/>
  <w15:docId w15:val="{3E7D017E-493A-4D05-8EA3-D95FCB37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C21"/>
    <w:rPr>
      <w:rFonts w:ascii="Tahoma" w:hAnsi="Tahoma" w:cs="Tahoma"/>
      <w:sz w:val="24"/>
      <w:szCs w:val="24"/>
    </w:rPr>
  </w:style>
  <w:style w:type="paragraph" w:styleId="Heading1">
    <w:name w:val="heading 1"/>
    <w:basedOn w:val="Normal"/>
    <w:next w:val="Normal"/>
    <w:link w:val="Heading1Char"/>
    <w:uiPriority w:val="9"/>
    <w:qFormat/>
    <w:rsid w:val="00D24C21"/>
    <w:pPr>
      <w:outlineLvl w:val="0"/>
    </w:pPr>
    <w:rPr>
      <w:b/>
      <w:color w:val="800000"/>
      <w:sz w:val="48"/>
      <w:szCs w:val="48"/>
    </w:rPr>
  </w:style>
  <w:style w:type="paragraph" w:styleId="Heading2">
    <w:name w:val="heading 2"/>
    <w:basedOn w:val="Normal"/>
    <w:next w:val="Normal"/>
    <w:link w:val="Heading2Char"/>
    <w:uiPriority w:val="9"/>
    <w:unhideWhenUsed/>
    <w:qFormat/>
    <w:rsid w:val="00D24C21"/>
    <w:pPr>
      <w:outlineLvl w:val="1"/>
    </w:pPr>
    <w:rPr>
      <w:b/>
    </w:rPr>
  </w:style>
  <w:style w:type="paragraph" w:styleId="Heading3">
    <w:name w:val="heading 3"/>
    <w:basedOn w:val="Normal"/>
    <w:next w:val="Normal"/>
    <w:link w:val="Heading3Char"/>
    <w:uiPriority w:val="9"/>
    <w:unhideWhenUsed/>
    <w:qFormat/>
    <w:rsid w:val="00D24C21"/>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C21"/>
    <w:rPr>
      <w:rFonts w:ascii="Tahoma" w:hAnsi="Tahoma" w:cs="Tahoma"/>
      <w:b/>
      <w:color w:val="800000"/>
      <w:sz w:val="48"/>
      <w:szCs w:val="48"/>
    </w:rPr>
  </w:style>
  <w:style w:type="paragraph" w:styleId="ListParagraph">
    <w:name w:val="List Paragraph"/>
    <w:basedOn w:val="Normal"/>
    <w:uiPriority w:val="34"/>
    <w:qFormat/>
    <w:rsid w:val="0082239A"/>
    <w:pPr>
      <w:ind w:left="720"/>
      <w:contextualSpacing/>
    </w:pPr>
  </w:style>
  <w:style w:type="paragraph" w:styleId="Title">
    <w:name w:val="Title"/>
    <w:basedOn w:val="Normal"/>
    <w:next w:val="Normal"/>
    <w:link w:val="TitleChar"/>
    <w:uiPriority w:val="10"/>
    <w:qFormat/>
    <w:rsid w:val="00D24C21"/>
    <w:pPr>
      <w:jc w:val="right"/>
    </w:pPr>
    <w:rPr>
      <w:b/>
      <w:sz w:val="72"/>
      <w:szCs w:val="72"/>
    </w:rPr>
  </w:style>
  <w:style w:type="character" w:customStyle="1" w:styleId="TitleChar">
    <w:name w:val="Title Char"/>
    <w:basedOn w:val="DefaultParagraphFont"/>
    <w:link w:val="Title"/>
    <w:uiPriority w:val="10"/>
    <w:rsid w:val="00D24C21"/>
    <w:rPr>
      <w:rFonts w:ascii="Tahoma" w:hAnsi="Tahoma" w:cs="Tahoma"/>
      <w:b/>
      <w:sz w:val="72"/>
      <w:szCs w:val="72"/>
    </w:rPr>
  </w:style>
  <w:style w:type="character" w:customStyle="1" w:styleId="Heading2Char">
    <w:name w:val="Heading 2 Char"/>
    <w:basedOn w:val="DefaultParagraphFont"/>
    <w:link w:val="Heading2"/>
    <w:uiPriority w:val="9"/>
    <w:rsid w:val="00D24C21"/>
    <w:rPr>
      <w:rFonts w:ascii="Tahoma" w:hAnsi="Tahoma" w:cs="Tahoma"/>
      <w:b/>
      <w:sz w:val="24"/>
      <w:szCs w:val="24"/>
    </w:rPr>
  </w:style>
  <w:style w:type="character" w:customStyle="1" w:styleId="Heading3Char">
    <w:name w:val="Heading 3 Char"/>
    <w:basedOn w:val="DefaultParagraphFont"/>
    <w:link w:val="Heading3"/>
    <w:uiPriority w:val="9"/>
    <w:rsid w:val="00D24C21"/>
    <w:rPr>
      <w:rFonts w:ascii="Tahoma" w:hAnsi="Tahoma" w:cs="Tahoma"/>
      <w:sz w:val="24"/>
      <w:szCs w:val="24"/>
      <w:u w:val="single"/>
    </w:rPr>
  </w:style>
  <w:style w:type="paragraph" w:customStyle="1" w:styleId="paragraph">
    <w:name w:val="paragraph"/>
    <w:basedOn w:val="Normal"/>
    <w:rsid w:val="00F8633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8633C"/>
  </w:style>
  <w:style w:type="character" w:customStyle="1" w:styleId="eop">
    <w:name w:val="eop"/>
    <w:basedOn w:val="DefaultParagraphFont"/>
    <w:rsid w:val="00F8633C"/>
  </w:style>
  <w:style w:type="paragraph" w:styleId="Header">
    <w:name w:val="header"/>
    <w:basedOn w:val="Normal"/>
    <w:link w:val="HeaderChar"/>
    <w:uiPriority w:val="99"/>
    <w:unhideWhenUsed/>
    <w:rsid w:val="00F86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33C"/>
    <w:rPr>
      <w:rFonts w:ascii="Tahoma" w:hAnsi="Tahoma" w:cs="Tahoma"/>
      <w:sz w:val="24"/>
      <w:szCs w:val="24"/>
    </w:rPr>
  </w:style>
  <w:style w:type="paragraph" w:styleId="Footer">
    <w:name w:val="footer"/>
    <w:basedOn w:val="Normal"/>
    <w:link w:val="FooterChar"/>
    <w:uiPriority w:val="99"/>
    <w:unhideWhenUsed/>
    <w:rsid w:val="00F86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33C"/>
    <w:rPr>
      <w:rFonts w:ascii="Tahoma" w:hAnsi="Tahoma" w:cs="Tahoma"/>
      <w:sz w:val="24"/>
      <w:szCs w:val="24"/>
    </w:rPr>
  </w:style>
  <w:style w:type="table" w:styleId="TableGrid">
    <w:name w:val="Table Grid"/>
    <w:basedOn w:val="TableNormal"/>
    <w:uiPriority w:val="39"/>
    <w:rsid w:val="00E7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6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429"/>
    <w:rPr>
      <w:rFonts w:ascii="Segoe UI" w:hAnsi="Segoe UI" w:cs="Segoe UI"/>
      <w:sz w:val="18"/>
      <w:szCs w:val="18"/>
    </w:rPr>
  </w:style>
  <w:style w:type="character" w:styleId="Hyperlink">
    <w:name w:val="Hyperlink"/>
    <w:basedOn w:val="DefaultParagraphFont"/>
    <w:uiPriority w:val="99"/>
    <w:unhideWhenUsed/>
    <w:rsid w:val="00D72E3F"/>
    <w:rPr>
      <w:color w:val="0563C1" w:themeColor="hyperlink"/>
      <w:u w:val="single"/>
    </w:rPr>
  </w:style>
  <w:style w:type="character" w:styleId="UnresolvedMention">
    <w:name w:val="Unresolved Mention"/>
    <w:basedOn w:val="DefaultParagraphFont"/>
    <w:uiPriority w:val="99"/>
    <w:semiHidden/>
    <w:unhideWhenUsed/>
    <w:rsid w:val="00D72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461673">
      <w:bodyDiv w:val="1"/>
      <w:marLeft w:val="0"/>
      <w:marRight w:val="0"/>
      <w:marTop w:val="0"/>
      <w:marBottom w:val="0"/>
      <w:divBdr>
        <w:top w:val="none" w:sz="0" w:space="0" w:color="auto"/>
        <w:left w:val="none" w:sz="0" w:space="0" w:color="auto"/>
        <w:bottom w:val="none" w:sz="0" w:space="0" w:color="auto"/>
        <w:right w:val="none" w:sz="0" w:space="0" w:color="auto"/>
      </w:divBdr>
      <w:divsChild>
        <w:div w:id="444233280">
          <w:marLeft w:val="0"/>
          <w:marRight w:val="0"/>
          <w:marTop w:val="0"/>
          <w:marBottom w:val="0"/>
          <w:divBdr>
            <w:top w:val="none" w:sz="0" w:space="0" w:color="auto"/>
            <w:left w:val="none" w:sz="0" w:space="0" w:color="auto"/>
            <w:bottom w:val="none" w:sz="0" w:space="0" w:color="auto"/>
            <w:right w:val="none" w:sz="0" w:space="0" w:color="auto"/>
          </w:divBdr>
        </w:div>
        <w:div w:id="796682684">
          <w:marLeft w:val="0"/>
          <w:marRight w:val="0"/>
          <w:marTop w:val="0"/>
          <w:marBottom w:val="0"/>
          <w:divBdr>
            <w:top w:val="none" w:sz="0" w:space="0" w:color="auto"/>
            <w:left w:val="none" w:sz="0" w:space="0" w:color="auto"/>
            <w:bottom w:val="none" w:sz="0" w:space="0" w:color="auto"/>
            <w:right w:val="none" w:sz="0" w:space="0" w:color="auto"/>
          </w:divBdr>
        </w:div>
        <w:div w:id="2061973154">
          <w:marLeft w:val="0"/>
          <w:marRight w:val="0"/>
          <w:marTop w:val="0"/>
          <w:marBottom w:val="0"/>
          <w:divBdr>
            <w:top w:val="none" w:sz="0" w:space="0" w:color="auto"/>
            <w:left w:val="none" w:sz="0" w:space="0" w:color="auto"/>
            <w:bottom w:val="none" w:sz="0" w:space="0" w:color="auto"/>
            <w:right w:val="none" w:sz="0" w:space="0" w:color="auto"/>
          </w:divBdr>
        </w:div>
        <w:div w:id="136578935">
          <w:marLeft w:val="0"/>
          <w:marRight w:val="0"/>
          <w:marTop w:val="0"/>
          <w:marBottom w:val="0"/>
          <w:divBdr>
            <w:top w:val="none" w:sz="0" w:space="0" w:color="auto"/>
            <w:left w:val="none" w:sz="0" w:space="0" w:color="auto"/>
            <w:bottom w:val="none" w:sz="0" w:space="0" w:color="auto"/>
            <w:right w:val="none" w:sz="0" w:space="0" w:color="auto"/>
          </w:divBdr>
        </w:div>
        <w:div w:id="1636376955">
          <w:marLeft w:val="0"/>
          <w:marRight w:val="0"/>
          <w:marTop w:val="0"/>
          <w:marBottom w:val="0"/>
          <w:divBdr>
            <w:top w:val="none" w:sz="0" w:space="0" w:color="auto"/>
            <w:left w:val="none" w:sz="0" w:space="0" w:color="auto"/>
            <w:bottom w:val="none" w:sz="0" w:space="0" w:color="auto"/>
            <w:right w:val="none" w:sz="0" w:space="0" w:color="auto"/>
          </w:divBdr>
        </w:div>
        <w:div w:id="2063405292">
          <w:marLeft w:val="0"/>
          <w:marRight w:val="0"/>
          <w:marTop w:val="0"/>
          <w:marBottom w:val="0"/>
          <w:divBdr>
            <w:top w:val="none" w:sz="0" w:space="0" w:color="auto"/>
            <w:left w:val="none" w:sz="0" w:space="0" w:color="auto"/>
            <w:bottom w:val="none" w:sz="0" w:space="0" w:color="auto"/>
            <w:right w:val="none" w:sz="0" w:space="0" w:color="auto"/>
          </w:divBdr>
        </w:div>
        <w:div w:id="1107235861">
          <w:marLeft w:val="0"/>
          <w:marRight w:val="0"/>
          <w:marTop w:val="0"/>
          <w:marBottom w:val="0"/>
          <w:divBdr>
            <w:top w:val="none" w:sz="0" w:space="0" w:color="auto"/>
            <w:left w:val="none" w:sz="0" w:space="0" w:color="auto"/>
            <w:bottom w:val="none" w:sz="0" w:space="0" w:color="auto"/>
            <w:right w:val="none" w:sz="0" w:space="0" w:color="auto"/>
          </w:divBdr>
        </w:div>
        <w:div w:id="1717775113">
          <w:marLeft w:val="0"/>
          <w:marRight w:val="0"/>
          <w:marTop w:val="0"/>
          <w:marBottom w:val="0"/>
          <w:divBdr>
            <w:top w:val="none" w:sz="0" w:space="0" w:color="auto"/>
            <w:left w:val="none" w:sz="0" w:space="0" w:color="auto"/>
            <w:bottom w:val="none" w:sz="0" w:space="0" w:color="auto"/>
            <w:right w:val="none" w:sz="0" w:space="0" w:color="auto"/>
          </w:divBdr>
        </w:div>
        <w:div w:id="308748164">
          <w:marLeft w:val="0"/>
          <w:marRight w:val="0"/>
          <w:marTop w:val="0"/>
          <w:marBottom w:val="0"/>
          <w:divBdr>
            <w:top w:val="none" w:sz="0" w:space="0" w:color="auto"/>
            <w:left w:val="none" w:sz="0" w:space="0" w:color="auto"/>
            <w:bottom w:val="none" w:sz="0" w:space="0" w:color="auto"/>
            <w:right w:val="none" w:sz="0" w:space="0" w:color="auto"/>
          </w:divBdr>
        </w:div>
      </w:divsChild>
    </w:div>
    <w:div w:id="1909922662">
      <w:bodyDiv w:val="1"/>
      <w:marLeft w:val="0"/>
      <w:marRight w:val="0"/>
      <w:marTop w:val="0"/>
      <w:marBottom w:val="0"/>
      <w:divBdr>
        <w:top w:val="none" w:sz="0" w:space="0" w:color="auto"/>
        <w:left w:val="none" w:sz="0" w:space="0" w:color="auto"/>
        <w:bottom w:val="none" w:sz="0" w:space="0" w:color="auto"/>
        <w:right w:val="none" w:sz="0" w:space="0" w:color="auto"/>
      </w:divBdr>
      <w:divsChild>
        <w:div w:id="904948391">
          <w:marLeft w:val="0"/>
          <w:marRight w:val="0"/>
          <w:marTop w:val="0"/>
          <w:marBottom w:val="0"/>
          <w:divBdr>
            <w:top w:val="none" w:sz="0" w:space="0" w:color="auto"/>
            <w:left w:val="none" w:sz="0" w:space="0" w:color="auto"/>
            <w:bottom w:val="none" w:sz="0" w:space="0" w:color="auto"/>
            <w:right w:val="none" w:sz="0" w:space="0" w:color="auto"/>
          </w:divBdr>
        </w:div>
        <w:div w:id="1069426302">
          <w:marLeft w:val="0"/>
          <w:marRight w:val="0"/>
          <w:marTop w:val="0"/>
          <w:marBottom w:val="0"/>
          <w:divBdr>
            <w:top w:val="none" w:sz="0" w:space="0" w:color="auto"/>
            <w:left w:val="none" w:sz="0" w:space="0" w:color="auto"/>
            <w:bottom w:val="none" w:sz="0" w:space="0" w:color="auto"/>
            <w:right w:val="none" w:sz="0" w:space="0" w:color="auto"/>
          </w:divBdr>
        </w:div>
        <w:div w:id="813914693">
          <w:marLeft w:val="0"/>
          <w:marRight w:val="0"/>
          <w:marTop w:val="0"/>
          <w:marBottom w:val="0"/>
          <w:divBdr>
            <w:top w:val="none" w:sz="0" w:space="0" w:color="auto"/>
            <w:left w:val="none" w:sz="0" w:space="0" w:color="auto"/>
            <w:bottom w:val="none" w:sz="0" w:space="0" w:color="auto"/>
            <w:right w:val="none" w:sz="0" w:space="0" w:color="auto"/>
          </w:divBdr>
        </w:div>
        <w:div w:id="438259097">
          <w:marLeft w:val="0"/>
          <w:marRight w:val="0"/>
          <w:marTop w:val="0"/>
          <w:marBottom w:val="0"/>
          <w:divBdr>
            <w:top w:val="none" w:sz="0" w:space="0" w:color="auto"/>
            <w:left w:val="none" w:sz="0" w:space="0" w:color="auto"/>
            <w:bottom w:val="none" w:sz="0" w:space="0" w:color="auto"/>
            <w:right w:val="none" w:sz="0" w:space="0" w:color="auto"/>
          </w:divBdr>
        </w:div>
        <w:div w:id="2066875555">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
        <w:div w:id="1639262742">
          <w:marLeft w:val="0"/>
          <w:marRight w:val="0"/>
          <w:marTop w:val="0"/>
          <w:marBottom w:val="0"/>
          <w:divBdr>
            <w:top w:val="none" w:sz="0" w:space="0" w:color="auto"/>
            <w:left w:val="none" w:sz="0" w:space="0" w:color="auto"/>
            <w:bottom w:val="none" w:sz="0" w:space="0" w:color="auto"/>
            <w:right w:val="none" w:sz="0" w:space="0" w:color="auto"/>
          </w:divBdr>
        </w:div>
        <w:div w:id="295572320">
          <w:marLeft w:val="0"/>
          <w:marRight w:val="0"/>
          <w:marTop w:val="0"/>
          <w:marBottom w:val="0"/>
          <w:divBdr>
            <w:top w:val="none" w:sz="0" w:space="0" w:color="auto"/>
            <w:left w:val="none" w:sz="0" w:space="0" w:color="auto"/>
            <w:bottom w:val="none" w:sz="0" w:space="0" w:color="auto"/>
            <w:right w:val="none" w:sz="0" w:space="0" w:color="auto"/>
          </w:divBdr>
        </w:div>
        <w:div w:id="124945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imetabling@rau.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metabling@rau.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23C71D748A64F990F0136F9609742" ma:contentTypeVersion="12" ma:contentTypeDescription="Create a new document." ma:contentTypeScope="" ma:versionID="e4ff3b7b6ffc95e3fffd79635e929417">
  <xsd:schema xmlns:xsd="http://www.w3.org/2001/XMLSchema" xmlns:xs="http://www.w3.org/2001/XMLSchema" xmlns:p="http://schemas.microsoft.com/office/2006/metadata/properties" xmlns:ns3="2b667af1-55bf-4dac-9925-8a6ad5223d19" xmlns:ns4="ac664174-f25b-4234-b3be-d0f3689b03c1" targetNamespace="http://schemas.microsoft.com/office/2006/metadata/properties" ma:root="true" ma:fieldsID="158a94703a16d4ba35f23b059a540604" ns3:_="" ns4:_="">
    <xsd:import namespace="2b667af1-55bf-4dac-9925-8a6ad5223d19"/>
    <xsd:import namespace="ac664174-f25b-4234-b3be-d0f3689b03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7af1-55bf-4dac-9925-8a6ad5223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64174-f25b-4234-b3be-d0f3689b03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75DB3-2914-4DA7-AA24-13C12EDA3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7af1-55bf-4dac-9925-8a6ad5223d19"/>
    <ds:schemaRef ds:uri="ac664174-f25b-4234-b3be-d0f3689b0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AA12A-6221-46A3-A316-D592783703DA}">
  <ds:schemaRefs>
    <ds:schemaRef ds:uri="http://schemas.microsoft.com/sharepoint/v3/contenttype/forms"/>
  </ds:schemaRefs>
</ds:datastoreItem>
</file>

<file path=customXml/itemProps3.xml><?xml version="1.0" encoding="utf-8"?>
<ds:datastoreItem xmlns:ds="http://schemas.openxmlformats.org/officeDocument/2006/customXml" ds:itemID="{27070352-E77D-4D68-A16B-3ED8954AF524}">
  <ds:schemaRefs>
    <ds:schemaRef ds:uri="http://purl.org/dc/terms/"/>
    <ds:schemaRef ds:uri="2b667af1-55bf-4dac-9925-8a6ad5223d19"/>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c664174-f25b-4234-b3be-d0f3689b03c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56B4E5E-951D-40F2-8546-3989FAFA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2033</Words>
  <Characters>11593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Todhunter</dc:creator>
  <cp:keywords/>
  <dc:description/>
  <cp:lastModifiedBy>Kate Perris</cp:lastModifiedBy>
  <cp:revision>2</cp:revision>
  <cp:lastPrinted>2022-05-12T05:57:00Z</cp:lastPrinted>
  <dcterms:created xsi:type="dcterms:W3CDTF">2022-05-24T11:22:00Z</dcterms:created>
  <dcterms:modified xsi:type="dcterms:W3CDTF">2022-05-24T11:22:00Z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0x010100E8323C71D748A64F990F0136F9609742</vt:lpwstr>
  </property>
</Properties>
</file>