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7E94" w14:textId="77777777" w:rsidR="00115965" w:rsidRDefault="00115965" w:rsidP="00D24C21">
      <w:pPr>
        <w:pStyle w:val="Title"/>
      </w:pPr>
      <w:bookmarkStart w:id="0" w:name="_GoBack"/>
      <w:bookmarkEnd w:id="0"/>
    </w:p>
    <w:p w14:paraId="3E1C5E6A" w14:textId="0B1279CD" w:rsidR="00D24C21" w:rsidRDefault="00445452" w:rsidP="00D24C21">
      <w:pPr>
        <w:pStyle w:val="Title"/>
      </w:pPr>
      <w:r>
        <w:t>Assessment</w:t>
      </w:r>
      <w:r w:rsidR="00D24C21" w:rsidRPr="00D24C21">
        <w:t xml:space="preserve"> Code of Practice</w:t>
      </w:r>
    </w:p>
    <w:p w14:paraId="57BB3033" w14:textId="77777777" w:rsidR="00BE2333" w:rsidRDefault="00BE2333" w:rsidP="00D24C21"/>
    <w:p w14:paraId="39DBE7E7" w14:textId="49228936" w:rsidR="004215C6" w:rsidRDefault="004215C6" w:rsidP="00BE2333">
      <w:pPr>
        <w:pStyle w:val="Heading2"/>
        <w:jc w:val="right"/>
        <w:rPr>
          <w:rStyle w:val="Heading3Char"/>
          <w:b w:val="0"/>
        </w:rPr>
      </w:pPr>
      <w:bookmarkStart w:id="1" w:name="_Toc85620289"/>
      <w:bookmarkStart w:id="2" w:name="_Toc85620307"/>
      <w:bookmarkStart w:id="3" w:name="_Toc85620365"/>
      <w:r>
        <w:rPr>
          <w:rStyle w:val="Heading3Char"/>
          <w:b w:val="0"/>
        </w:rPr>
        <w:t>Academic Governance Approval</w:t>
      </w:r>
      <w:bookmarkEnd w:id="1"/>
      <w:bookmarkEnd w:id="2"/>
      <w:bookmarkEnd w:id="3"/>
    </w:p>
    <w:p w14:paraId="5CC92510" w14:textId="352DA5FE" w:rsidR="004215C6" w:rsidRDefault="004215C6" w:rsidP="00BE2333">
      <w:pPr>
        <w:pStyle w:val="Heading2"/>
        <w:jc w:val="right"/>
        <w:rPr>
          <w:b w:val="0"/>
        </w:rPr>
      </w:pPr>
      <w:bookmarkStart w:id="4" w:name="_Toc85620290"/>
      <w:bookmarkStart w:id="5" w:name="_Toc85620308"/>
      <w:bookmarkStart w:id="6" w:name="_Toc85620366"/>
      <w:r>
        <w:rPr>
          <w:b w:val="0"/>
        </w:rPr>
        <w:t>Academic Quality and Standards Committee (AQSC)</w:t>
      </w:r>
      <w:bookmarkEnd w:id="4"/>
      <w:bookmarkEnd w:id="5"/>
      <w:bookmarkEnd w:id="6"/>
    </w:p>
    <w:p w14:paraId="3345C6A8" w14:textId="77777777" w:rsidR="004215C6" w:rsidRPr="004215C6" w:rsidRDefault="004215C6" w:rsidP="004215C6"/>
    <w:p w14:paraId="660FAFD2" w14:textId="27485E05" w:rsidR="004215C6" w:rsidRDefault="004215C6" w:rsidP="004215C6">
      <w:pPr>
        <w:pStyle w:val="Heading2"/>
        <w:jc w:val="right"/>
        <w:rPr>
          <w:rStyle w:val="Heading3Char"/>
          <w:b w:val="0"/>
        </w:rPr>
      </w:pPr>
      <w:bookmarkStart w:id="7" w:name="_Toc85620291"/>
      <w:bookmarkStart w:id="8" w:name="_Toc85620309"/>
      <w:bookmarkStart w:id="9" w:name="_Toc85620367"/>
      <w:r>
        <w:rPr>
          <w:rStyle w:val="Heading3Char"/>
          <w:b w:val="0"/>
        </w:rPr>
        <w:t>Academic Sponsor</w:t>
      </w:r>
      <w:bookmarkEnd w:id="7"/>
      <w:bookmarkEnd w:id="8"/>
      <w:bookmarkEnd w:id="9"/>
    </w:p>
    <w:p w14:paraId="1E4BBB16" w14:textId="20BFD1D0" w:rsidR="004215C6" w:rsidRDefault="004215C6" w:rsidP="004215C6">
      <w:pPr>
        <w:jc w:val="right"/>
      </w:pPr>
      <w:r>
        <w:t xml:space="preserve">Pro Vice-Chancellor (Education and </w:t>
      </w:r>
      <w:r w:rsidR="00486BC0">
        <w:t>Students</w:t>
      </w:r>
      <w:r>
        <w:t>)</w:t>
      </w:r>
    </w:p>
    <w:p w14:paraId="1CFE137F" w14:textId="77777777" w:rsidR="004215C6" w:rsidRPr="004215C6" w:rsidRDefault="004215C6" w:rsidP="004215C6">
      <w:pPr>
        <w:jc w:val="right"/>
      </w:pPr>
    </w:p>
    <w:p w14:paraId="5E09B33A" w14:textId="77777777" w:rsidR="004215C6" w:rsidRDefault="004215C6" w:rsidP="00BE2333">
      <w:pPr>
        <w:pStyle w:val="Heading2"/>
        <w:jc w:val="right"/>
        <w:rPr>
          <w:rStyle w:val="Heading3Char"/>
          <w:b w:val="0"/>
        </w:rPr>
      </w:pPr>
      <w:bookmarkStart w:id="10" w:name="_Toc85620292"/>
      <w:bookmarkStart w:id="11" w:name="_Toc85620310"/>
      <w:bookmarkStart w:id="12" w:name="_Toc85620368"/>
      <w:r>
        <w:rPr>
          <w:rStyle w:val="Heading3Char"/>
          <w:b w:val="0"/>
        </w:rPr>
        <w:t>Professional Services</w:t>
      </w:r>
      <w:r w:rsidRPr="004215C6">
        <w:rPr>
          <w:rStyle w:val="Heading3Char"/>
          <w:b w:val="0"/>
        </w:rPr>
        <w:t xml:space="preserve"> </w:t>
      </w:r>
      <w:r w:rsidR="00BE2333" w:rsidRPr="004215C6">
        <w:rPr>
          <w:rStyle w:val="Heading3Char"/>
          <w:b w:val="0"/>
        </w:rPr>
        <w:t>Owner</w:t>
      </w:r>
      <w:bookmarkEnd w:id="10"/>
      <w:bookmarkEnd w:id="11"/>
      <w:bookmarkEnd w:id="12"/>
    </w:p>
    <w:p w14:paraId="22650521" w14:textId="77777777" w:rsidR="00D24C21" w:rsidRDefault="00BE2333" w:rsidP="00BE2333">
      <w:pPr>
        <w:pStyle w:val="Heading2"/>
        <w:jc w:val="right"/>
        <w:rPr>
          <w:b w:val="0"/>
        </w:rPr>
      </w:pPr>
      <w:bookmarkStart w:id="13" w:name="_Toc85620293"/>
      <w:bookmarkStart w:id="14" w:name="_Toc85620311"/>
      <w:bookmarkStart w:id="15" w:name="_Toc85620369"/>
      <w:r w:rsidRPr="00BE2333">
        <w:rPr>
          <w:b w:val="0"/>
        </w:rPr>
        <w:t>Assistant Registrar (</w:t>
      </w:r>
      <w:r>
        <w:rPr>
          <w:b w:val="0"/>
        </w:rPr>
        <w:t>Quality, Assessment and Partnerships</w:t>
      </w:r>
      <w:bookmarkEnd w:id="13"/>
      <w:bookmarkEnd w:id="14"/>
      <w:bookmarkEnd w:id="15"/>
      <w:r w:rsidR="00445452">
        <w:rPr>
          <w:b w:val="0"/>
        </w:rPr>
        <w:t>)</w:t>
      </w:r>
    </w:p>
    <w:p w14:paraId="615EE5F1" w14:textId="2F75D781" w:rsidR="00D62D77" w:rsidRDefault="00445452" w:rsidP="00F135F7">
      <w:pPr>
        <w:jc w:val="right"/>
      </w:pPr>
      <w:r>
        <w:t>Assistant Registrar (Student Records</w:t>
      </w:r>
      <w:r w:rsidR="00F135F7">
        <w:t xml:space="preserve">, Operations and Returns) </w:t>
      </w:r>
    </w:p>
    <w:p w14:paraId="057855C7" w14:textId="77777777" w:rsidR="00D62D77" w:rsidRPr="00D62D77" w:rsidRDefault="00D62D77" w:rsidP="00D62D77"/>
    <w:p w14:paraId="57EF6137" w14:textId="77777777" w:rsidR="00D62D77" w:rsidRPr="00D62D77" w:rsidRDefault="00D62D77" w:rsidP="00D62D77"/>
    <w:p w14:paraId="396DBB57" w14:textId="77777777" w:rsidR="00D62D77" w:rsidRPr="00D62D77" w:rsidRDefault="00D62D77" w:rsidP="00D62D77"/>
    <w:p w14:paraId="5CD6CB86" w14:textId="77777777" w:rsidR="00D13BF6" w:rsidRPr="00810A39" w:rsidRDefault="00D13BF6" w:rsidP="00D13BF6">
      <w:pPr>
        <w:jc w:val="right"/>
        <w:rPr>
          <w:u w:val="single"/>
        </w:rPr>
      </w:pPr>
      <w:r w:rsidRPr="00810A39">
        <w:rPr>
          <w:u w:val="single"/>
        </w:rPr>
        <w:t>Date Approved</w:t>
      </w:r>
    </w:p>
    <w:p w14:paraId="374AC712" w14:textId="77777777" w:rsidR="00D13BF6" w:rsidRDefault="00D13BF6" w:rsidP="00D13BF6">
      <w:pPr>
        <w:jc w:val="right"/>
      </w:pPr>
      <w:r>
        <w:t>23 May 2022</w:t>
      </w:r>
    </w:p>
    <w:p w14:paraId="67AB10E6" w14:textId="77777777" w:rsidR="00D62D77" w:rsidRPr="00D62D77" w:rsidRDefault="00D62D77" w:rsidP="00D13BF6">
      <w:pPr>
        <w:jc w:val="right"/>
      </w:pPr>
    </w:p>
    <w:p w14:paraId="23D355F3" w14:textId="77777777" w:rsidR="00D62D77" w:rsidRPr="00D62D77" w:rsidRDefault="00D62D77" w:rsidP="00D62D77"/>
    <w:p w14:paraId="56D9359F" w14:textId="7D9506FE" w:rsidR="00D62D77" w:rsidRDefault="00D62D77" w:rsidP="00D62D77"/>
    <w:p w14:paraId="593A358F" w14:textId="29258F62" w:rsidR="00D62D77" w:rsidRDefault="00D62D77" w:rsidP="00D62D77">
      <w:pPr>
        <w:jc w:val="center"/>
      </w:pPr>
    </w:p>
    <w:p w14:paraId="20FA73AD" w14:textId="43347BDB" w:rsidR="00445452" w:rsidRPr="00D62D77" w:rsidRDefault="00D62D77" w:rsidP="00D62D77">
      <w:pPr>
        <w:tabs>
          <w:tab w:val="center" w:pos="4513"/>
        </w:tabs>
        <w:sectPr w:rsidR="00445452" w:rsidRPr="00D62D77" w:rsidSect="00115965">
          <w:headerReference w:type="default" r:id="rId11"/>
          <w:footerReference w:type="default" r:id="rId12"/>
          <w:head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ab/>
      </w:r>
    </w:p>
    <w:p w14:paraId="6646CE3C" w14:textId="77777777" w:rsidR="00D62D77" w:rsidRDefault="00824402" w:rsidP="00D62D77">
      <w:pPr>
        <w:pStyle w:val="Heading1"/>
      </w:pPr>
      <w:r w:rsidRPr="00D62D77">
        <w:lastRenderedPageBreak/>
        <w:t>Contents</w:t>
      </w:r>
    </w:p>
    <w:p w14:paraId="4353BE9A" w14:textId="0F06820F" w:rsidR="000B1E00" w:rsidRDefault="00A42762" w:rsidP="00D62D77">
      <w:pPr>
        <w:pStyle w:val="ListParagraph"/>
        <w:numPr>
          <w:ilvl w:val="0"/>
          <w:numId w:val="27"/>
        </w:numPr>
      </w:pPr>
      <w:r>
        <w:t>Assessment Types and Components</w:t>
      </w:r>
      <w:r w:rsidR="004B5A66">
        <w:tab/>
      </w:r>
      <w:r w:rsidR="004B5A66">
        <w:tab/>
      </w:r>
      <w:r w:rsidR="004B5A66">
        <w:tab/>
      </w:r>
      <w:r w:rsidR="004B5A66">
        <w:tab/>
      </w:r>
      <w:r w:rsidR="004B5A66">
        <w:tab/>
      </w:r>
      <w:r w:rsidR="004B5A66">
        <w:tab/>
        <w:t>3</w:t>
      </w:r>
    </w:p>
    <w:p w14:paraId="77FB68DA" w14:textId="14A1DFE8" w:rsidR="00100EB9" w:rsidRPr="00D62D77" w:rsidRDefault="00D62D77" w:rsidP="00D62D77">
      <w:pPr>
        <w:pStyle w:val="ListParagraph"/>
        <w:numPr>
          <w:ilvl w:val="0"/>
          <w:numId w:val="27"/>
        </w:numPr>
      </w:pPr>
      <w:r>
        <w:t>Assessment Submission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2C3A">
        <w:t>10</w:t>
      </w:r>
      <w:r w:rsidR="00100EB9" w:rsidRPr="00D62D77">
        <w:br w:type="page"/>
      </w:r>
    </w:p>
    <w:p w14:paraId="0BF9567E" w14:textId="6CF6D076" w:rsidR="000B1E00" w:rsidRDefault="00A42762" w:rsidP="00D62D77">
      <w:pPr>
        <w:pStyle w:val="Heading1"/>
        <w:numPr>
          <w:ilvl w:val="0"/>
          <w:numId w:val="35"/>
        </w:numPr>
      </w:pPr>
      <w:r>
        <w:lastRenderedPageBreak/>
        <w:t>Assessment Types and Components</w:t>
      </w:r>
    </w:p>
    <w:p w14:paraId="295925F0" w14:textId="1127F93C" w:rsidR="004576E6" w:rsidRDefault="00A42762" w:rsidP="00A42762">
      <w:pPr>
        <w:pStyle w:val="Heading2"/>
      </w:pPr>
      <w:r>
        <w:t>Assessment Types</w:t>
      </w:r>
    </w:p>
    <w:p w14:paraId="14A875C0" w14:textId="5385C1BC" w:rsidR="00A42762" w:rsidRDefault="00E63482" w:rsidP="000B1E00">
      <w:r>
        <w:t>All assessments are defined within one of three broad assessment types</w:t>
      </w:r>
      <w:r w:rsidR="0042155B">
        <w:t xml:space="preserve"> which are;</w:t>
      </w:r>
    </w:p>
    <w:p w14:paraId="325B2C6D" w14:textId="0F7B92B0" w:rsidR="0042155B" w:rsidRDefault="0042155B" w:rsidP="0042155B">
      <w:pPr>
        <w:pStyle w:val="ListParagraph"/>
        <w:numPr>
          <w:ilvl w:val="0"/>
          <w:numId w:val="37"/>
        </w:numPr>
      </w:pPr>
      <w:r>
        <w:t>Written Exam</w:t>
      </w:r>
    </w:p>
    <w:p w14:paraId="49A0DADB" w14:textId="4DA4700A" w:rsidR="0042155B" w:rsidRDefault="0042155B" w:rsidP="0042155B">
      <w:pPr>
        <w:pStyle w:val="ListParagraph"/>
        <w:numPr>
          <w:ilvl w:val="0"/>
          <w:numId w:val="37"/>
        </w:numPr>
      </w:pPr>
      <w:r>
        <w:t>Coursework</w:t>
      </w:r>
    </w:p>
    <w:p w14:paraId="7FCF9C2C" w14:textId="77B3B13A" w:rsidR="0042155B" w:rsidRDefault="0042155B" w:rsidP="0042155B">
      <w:pPr>
        <w:pStyle w:val="ListParagraph"/>
        <w:numPr>
          <w:ilvl w:val="0"/>
          <w:numId w:val="37"/>
        </w:numPr>
      </w:pPr>
      <w:r>
        <w:t>Practical</w:t>
      </w:r>
    </w:p>
    <w:p w14:paraId="4983CA0E" w14:textId="720A4593" w:rsidR="00C441AB" w:rsidRPr="00C441AB" w:rsidRDefault="00C441AB" w:rsidP="00925D3C">
      <w:pPr>
        <w:pStyle w:val="Heading3"/>
        <w:rPr>
          <w:u w:val="none"/>
        </w:rPr>
      </w:pPr>
      <w:r w:rsidRPr="00C441AB">
        <w:rPr>
          <w:u w:val="none"/>
        </w:rPr>
        <w:t>Arrangements</w:t>
      </w:r>
      <w:r>
        <w:rPr>
          <w:u w:val="none"/>
        </w:rPr>
        <w:t xml:space="preserve"> for assessment setting, completion, marking, moderation and </w:t>
      </w:r>
      <w:r w:rsidR="005569C5">
        <w:rPr>
          <w:u w:val="none"/>
        </w:rPr>
        <w:t>alternative assessments are different for each type of assessment.</w:t>
      </w:r>
    </w:p>
    <w:p w14:paraId="3F8F4B6C" w14:textId="77B3B13A" w:rsidR="00925D3C" w:rsidRDefault="00925D3C" w:rsidP="00925D3C">
      <w:pPr>
        <w:pStyle w:val="Heading3"/>
      </w:pPr>
      <w:r>
        <w:t>Written Exam</w:t>
      </w:r>
    </w:p>
    <w:p w14:paraId="761F51E6" w14:textId="2D0D23C3" w:rsidR="7C146941" w:rsidRDefault="7C146941" w:rsidP="7C146941">
      <w:pPr>
        <w:pStyle w:val="Heading3"/>
        <w:rPr>
          <w:u w:val="none"/>
        </w:rPr>
      </w:pPr>
      <w:r>
        <w:rPr>
          <w:u w:val="none"/>
        </w:rPr>
        <w:t>Written exams are written assessments that are attempted by all students simultaneously. Academic integrity is maintained through monitoring either in-person (via invigilation) or online (via proctoring). Written exams are structured to include one or more of the following question types:</w:t>
      </w:r>
    </w:p>
    <w:p w14:paraId="2BD8663A" w14:textId="149699A3" w:rsidR="7C146941" w:rsidRDefault="7C146941" w:rsidP="7C146941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 w:rsidRPr="7C146941">
        <w:rPr>
          <w:rFonts w:eastAsia="Calibri"/>
        </w:rPr>
        <w:t>Multiple choice questions</w:t>
      </w:r>
    </w:p>
    <w:p w14:paraId="27702848" w14:textId="0E60B7E5" w:rsidR="7C146941" w:rsidRDefault="7C146941" w:rsidP="7C146941">
      <w:pPr>
        <w:pStyle w:val="ListParagraph"/>
        <w:numPr>
          <w:ilvl w:val="0"/>
          <w:numId w:val="1"/>
        </w:numPr>
      </w:pPr>
      <w:r w:rsidRPr="7C146941">
        <w:rPr>
          <w:rFonts w:eastAsia="Calibri"/>
        </w:rPr>
        <w:t>Mathematical/statistical questions</w:t>
      </w:r>
    </w:p>
    <w:p w14:paraId="25372015" w14:textId="131BF041" w:rsidR="7C146941" w:rsidRDefault="7C146941" w:rsidP="7C146941">
      <w:pPr>
        <w:pStyle w:val="ListParagraph"/>
        <w:numPr>
          <w:ilvl w:val="0"/>
          <w:numId w:val="1"/>
        </w:numPr>
      </w:pPr>
      <w:r w:rsidRPr="7C146941">
        <w:rPr>
          <w:rFonts w:eastAsia="Calibri"/>
        </w:rPr>
        <w:t>Short answer questions</w:t>
      </w:r>
    </w:p>
    <w:p w14:paraId="498ED6C9" w14:textId="7B1050C4" w:rsidR="7C146941" w:rsidRDefault="7C146941" w:rsidP="7C146941">
      <w:pPr>
        <w:pStyle w:val="ListParagraph"/>
        <w:numPr>
          <w:ilvl w:val="0"/>
          <w:numId w:val="1"/>
        </w:numPr>
      </w:pPr>
      <w:r w:rsidRPr="7C146941">
        <w:rPr>
          <w:rFonts w:eastAsia="Calibri"/>
        </w:rPr>
        <w:t>Long answer questions (including essay-style questions)</w:t>
      </w:r>
    </w:p>
    <w:p w14:paraId="566C547D" w14:textId="77B3B13A" w:rsidR="00925D3C" w:rsidRDefault="00925D3C" w:rsidP="00925D3C">
      <w:pPr>
        <w:pStyle w:val="Heading3"/>
      </w:pPr>
      <w:r>
        <w:t>Coursework</w:t>
      </w:r>
    </w:p>
    <w:p w14:paraId="7DE4CA9B" w14:textId="1FC9C63B" w:rsidR="00C17F5E" w:rsidRDefault="00925D3C">
      <w:r>
        <w:t>Coursework assessments are produced by students over a period, without monitoring. Academic integrity is maintained retrospectively, through similarity analysis and academic scrutiny. Coursework assessment is most often written, but not exclusively so, and includes the production of audio and/or visual content. A coursework assessment must result in the creation of a tangible product (physical or digital) by the student.</w:t>
      </w:r>
    </w:p>
    <w:p w14:paraId="39184FFC" w14:textId="77777777" w:rsidR="00C17F5E" w:rsidRPr="00C17F5E" w:rsidRDefault="00C17F5E">
      <w:pPr>
        <w:rPr>
          <w:u w:val="single"/>
        </w:rPr>
      </w:pPr>
      <w:r w:rsidRPr="7C146941">
        <w:rPr>
          <w:u w:val="single"/>
        </w:rPr>
        <w:t>Practical</w:t>
      </w:r>
    </w:p>
    <w:p w14:paraId="0703304C" w14:textId="7A9D8087" w:rsidR="7C146941" w:rsidRDefault="7C146941" w:rsidP="7C146941">
      <w:pPr>
        <w:rPr>
          <w:rFonts w:eastAsia="Calibri"/>
        </w:rPr>
      </w:pPr>
      <w:r>
        <w:t>Practical assessments are delivered live by students at a set time. Academic integrity is maintained through direct observation by one or more assessors. Practical assessments do not result in the creation of a tangible product by the student and marking is therefore usually conducted synchronously with the assessment. Marking can take place later where an audio-visual recording of the assessment is made.</w:t>
      </w:r>
    </w:p>
    <w:p w14:paraId="4B74D11B" w14:textId="77777777" w:rsidR="00EB29CD" w:rsidRDefault="00EB29CD" w:rsidP="00EB29CD">
      <w:pPr>
        <w:pStyle w:val="Heading2"/>
      </w:pPr>
      <w:r>
        <w:t>Assessment Components</w:t>
      </w:r>
    </w:p>
    <w:p w14:paraId="232EB6FE" w14:textId="60282540" w:rsidR="00614572" w:rsidRDefault="002E5DF4" w:rsidP="00EB29CD">
      <w:r>
        <w:t>T</w:t>
      </w:r>
      <w:r w:rsidR="00EB29CD">
        <w:t>he assessment components for each module</w:t>
      </w:r>
      <w:r w:rsidR="009F68D6">
        <w:t xml:space="preserve"> are detailed in the Module Specification for the relevant module.</w:t>
      </w:r>
    </w:p>
    <w:p w14:paraId="6D8E5DCA" w14:textId="77777777" w:rsidR="00614572" w:rsidRDefault="009F68D6" w:rsidP="00EB29CD">
      <w:r>
        <w:lastRenderedPageBreak/>
        <w:t>Changes to module specifications must be approved as outlined in the Programme Design and Development Code of Practice.</w:t>
      </w:r>
    </w:p>
    <w:p w14:paraId="6DC096D0" w14:textId="1875D932" w:rsidR="009E7496" w:rsidRDefault="003210DE" w:rsidP="00EB29CD">
      <w:r>
        <w:t xml:space="preserve">When defining assessment </w:t>
      </w:r>
      <w:r w:rsidR="00E44B0B">
        <w:t>components,</w:t>
      </w:r>
      <w:r w:rsidR="00736819">
        <w:t xml:space="preserve"> </w:t>
      </w:r>
      <w:r>
        <w:t xml:space="preserve">a balance must be found between </w:t>
      </w:r>
      <w:r w:rsidR="00C30E75">
        <w:t>setting clear expectations for students about what is expected, and providing sufficient flexibility for academic staff to develop</w:t>
      </w:r>
      <w:r w:rsidR="00992579">
        <w:t xml:space="preserve"> the assessment brief </w:t>
      </w:r>
      <w:r w:rsidR="00E44B0B">
        <w:t xml:space="preserve">and </w:t>
      </w:r>
      <w:r w:rsidR="00992579">
        <w:t>ensure the assessment remains relevant within the context of the subject area.</w:t>
      </w:r>
    </w:p>
    <w:p w14:paraId="751E04BA" w14:textId="7A50ACD3" w:rsidR="00736819" w:rsidRDefault="0052080A" w:rsidP="00EB29CD">
      <w:r>
        <w:t>To achieve this balance, t</w:t>
      </w:r>
      <w:r w:rsidR="00736819">
        <w:t xml:space="preserve">he following assessment component descriptions and </w:t>
      </w:r>
      <w:r w:rsidR="0051663C">
        <w:t xml:space="preserve">definitions should be used when describing </w:t>
      </w:r>
      <w:r w:rsidR="00C97D29">
        <w:t>assessment components on the module specification.</w:t>
      </w:r>
    </w:p>
    <w:p w14:paraId="732C1CFE" w14:textId="739FDA8D" w:rsidR="00614572" w:rsidRDefault="00614572" w:rsidP="00EB29CD">
      <w:r>
        <w:t>Innovation in the design of assessment components is encouraged</w:t>
      </w:r>
      <w:r w:rsidR="00C97D29">
        <w:t xml:space="preserve">. Where a proposed assessment does not </w:t>
      </w:r>
      <w:r w:rsidR="002E5DF4">
        <w:t>fall within the current definitions, the module leader should speak to Academic Services.</w:t>
      </w:r>
    </w:p>
    <w:p w14:paraId="0FF8ACA8" w14:textId="20AEE89D" w:rsidR="00D01424" w:rsidRDefault="00D01424" w:rsidP="005E1BBB">
      <w:pPr>
        <w:pStyle w:val="Heading3"/>
      </w:pPr>
      <w:r>
        <w:t>Written Exam</w:t>
      </w:r>
    </w:p>
    <w:tbl>
      <w:tblPr>
        <w:tblStyle w:val="TableGrid"/>
        <w:tblW w:w="9014" w:type="dxa"/>
        <w:tblLayout w:type="fixed"/>
        <w:tblLook w:val="04A0" w:firstRow="1" w:lastRow="0" w:firstColumn="1" w:lastColumn="0" w:noHBand="0" w:noVBand="1"/>
      </w:tblPr>
      <w:tblGrid>
        <w:gridCol w:w="1559"/>
        <w:gridCol w:w="1695"/>
        <w:gridCol w:w="1797"/>
        <w:gridCol w:w="1514"/>
        <w:gridCol w:w="2449"/>
      </w:tblGrid>
      <w:tr w:rsidR="00B50CA6" w:rsidRPr="00B50CA6" w14:paraId="14D28B7B" w14:textId="77777777" w:rsidTr="00AD0AA7">
        <w:tc>
          <w:tcPr>
            <w:tcW w:w="1559" w:type="dxa"/>
            <w:shd w:val="clear" w:color="auto" w:fill="E7E6E6" w:themeFill="background2"/>
            <w:vAlign w:val="center"/>
          </w:tcPr>
          <w:p w14:paraId="4581D68D" w14:textId="77777777" w:rsidR="00B50CA6" w:rsidRPr="00B50CA6" w:rsidRDefault="00B50CA6" w:rsidP="00AD0AA7">
            <w:r w:rsidRPr="00B50CA6">
              <w:t>Component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2110B65E" w14:textId="77777777" w:rsidR="00B50CA6" w:rsidRPr="00B50CA6" w:rsidRDefault="00B50CA6" w:rsidP="00AD0AA7">
            <w:r w:rsidRPr="00B50CA6">
              <w:t>Quantification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1930F125" w14:textId="77777777" w:rsidR="00B50CA6" w:rsidRPr="00B50CA6" w:rsidRDefault="00B50CA6" w:rsidP="00AD0AA7">
            <w:r w:rsidRPr="00B50CA6">
              <w:t>Example</w:t>
            </w:r>
          </w:p>
        </w:tc>
        <w:tc>
          <w:tcPr>
            <w:tcW w:w="1514" w:type="dxa"/>
            <w:shd w:val="clear" w:color="auto" w:fill="E7E6E6" w:themeFill="background2"/>
            <w:vAlign w:val="center"/>
          </w:tcPr>
          <w:p w14:paraId="059FC660" w14:textId="77777777" w:rsidR="00B50CA6" w:rsidRPr="00B50CA6" w:rsidRDefault="00B50CA6" w:rsidP="00AD0AA7">
            <w:r w:rsidRPr="00B50CA6">
              <w:t>Assessment focus</w:t>
            </w:r>
          </w:p>
        </w:tc>
        <w:tc>
          <w:tcPr>
            <w:tcW w:w="2449" w:type="dxa"/>
            <w:shd w:val="clear" w:color="auto" w:fill="E7E6E6" w:themeFill="background2"/>
            <w:vAlign w:val="center"/>
          </w:tcPr>
          <w:p w14:paraId="5D8A119D" w14:textId="007B4C0C" w:rsidR="00B50CA6" w:rsidRPr="00B50CA6" w:rsidRDefault="00736819" w:rsidP="00AD0AA7">
            <w:r>
              <w:t>Definition</w:t>
            </w:r>
          </w:p>
        </w:tc>
      </w:tr>
      <w:tr w:rsidR="00B50CA6" w:rsidRPr="00B50CA6" w14:paraId="1DBD2E62" w14:textId="77777777" w:rsidTr="00AD0AA7">
        <w:tc>
          <w:tcPr>
            <w:tcW w:w="1559" w:type="dxa"/>
            <w:shd w:val="clear" w:color="auto" w:fill="auto"/>
            <w:vAlign w:val="center"/>
          </w:tcPr>
          <w:p w14:paraId="6C3DA02F" w14:textId="46767441" w:rsidR="00B50CA6" w:rsidRPr="00B50CA6" w:rsidRDefault="00B50CA6" w:rsidP="00AD0AA7">
            <w:r>
              <w:t>Written exam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3371540" w14:textId="56AFA667" w:rsidR="00B50CA6" w:rsidRPr="00B50CA6" w:rsidRDefault="00B50CA6" w:rsidP="00AD0AA7">
            <w:r>
              <w:t>Time limit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336FA90" w14:textId="58CAEF70" w:rsidR="00B50CA6" w:rsidRPr="00B50CA6" w:rsidRDefault="00B50CA6" w:rsidP="00AD0AA7">
            <w:r>
              <w:t>Written exam (2 hours)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2F23740" w14:textId="77777777" w:rsidR="00B50CA6" w:rsidRDefault="005E1BBB" w:rsidP="00AD0AA7">
            <w:r>
              <w:t>Academic</w:t>
            </w:r>
          </w:p>
          <w:p w14:paraId="0BBE3B70" w14:textId="77777777" w:rsidR="005E1BBB" w:rsidRDefault="005E1BBB" w:rsidP="00AD0AA7">
            <w:r>
              <w:t>Scientific</w:t>
            </w:r>
          </w:p>
          <w:p w14:paraId="2F3736A3" w14:textId="6BA7F573" w:rsidR="005E1BBB" w:rsidRPr="00B50CA6" w:rsidRDefault="005E1BBB" w:rsidP="00AD0AA7">
            <w:r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437DA43" w14:textId="6ABCFCFF" w:rsidR="00B50CA6" w:rsidRPr="00B50CA6" w:rsidRDefault="005E1BBB" w:rsidP="00AD0AA7">
            <w:r w:rsidRPr="005E1BBB">
              <w:t>A formal, traditional, examination which is scheduled and invigilated and consists of one or more questions including multiple choice questions, long answer questions, short answer questions or statistical/mathematical questions</w:t>
            </w:r>
          </w:p>
        </w:tc>
      </w:tr>
    </w:tbl>
    <w:p w14:paraId="22109E14" w14:textId="77777777" w:rsidR="00B50CA6" w:rsidRDefault="00B50CA6" w:rsidP="00EB29CD"/>
    <w:p w14:paraId="0DF306AB" w14:textId="3A4B26B9" w:rsidR="00D01424" w:rsidRDefault="00D01424" w:rsidP="005E1BBB">
      <w:pPr>
        <w:pStyle w:val="Heading3"/>
      </w:pPr>
      <w:r>
        <w:t>Coursework</w:t>
      </w:r>
    </w:p>
    <w:tbl>
      <w:tblPr>
        <w:tblStyle w:val="TableGrid"/>
        <w:tblW w:w="9014" w:type="dxa"/>
        <w:tblLayout w:type="fixed"/>
        <w:tblLook w:val="04A0" w:firstRow="1" w:lastRow="0" w:firstColumn="1" w:lastColumn="0" w:noHBand="0" w:noVBand="1"/>
      </w:tblPr>
      <w:tblGrid>
        <w:gridCol w:w="1559"/>
        <w:gridCol w:w="1695"/>
        <w:gridCol w:w="1797"/>
        <w:gridCol w:w="1514"/>
        <w:gridCol w:w="2449"/>
      </w:tblGrid>
      <w:tr w:rsidR="00B50CA6" w:rsidRPr="00B50CA6" w14:paraId="7313A5C9" w14:textId="77777777" w:rsidTr="7C146941">
        <w:tc>
          <w:tcPr>
            <w:tcW w:w="1559" w:type="dxa"/>
            <w:shd w:val="clear" w:color="auto" w:fill="E7E6E6" w:themeFill="background2"/>
            <w:vAlign w:val="center"/>
          </w:tcPr>
          <w:p w14:paraId="68A71DFE" w14:textId="4E0C45BE" w:rsidR="00B50CA6" w:rsidRPr="00B50CA6" w:rsidRDefault="00B50CA6" w:rsidP="00B50CA6">
            <w:r w:rsidRPr="00B50CA6">
              <w:t>Component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14:paraId="6E367821" w14:textId="704B6049" w:rsidR="00B50CA6" w:rsidRPr="00B50CA6" w:rsidRDefault="00B50CA6" w:rsidP="00B50CA6">
            <w:r w:rsidRPr="00B50CA6">
              <w:t>Quantification</w:t>
            </w:r>
          </w:p>
        </w:tc>
        <w:tc>
          <w:tcPr>
            <w:tcW w:w="1797" w:type="dxa"/>
            <w:shd w:val="clear" w:color="auto" w:fill="E7E6E6" w:themeFill="background2"/>
            <w:vAlign w:val="center"/>
          </w:tcPr>
          <w:p w14:paraId="3AAB888B" w14:textId="70C8838B" w:rsidR="00B50CA6" w:rsidRPr="00B50CA6" w:rsidRDefault="00B50CA6" w:rsidP="00B50CA6">
            <w:r w:rsidRPr="00B50CA6">
              <w:t>Example</w:t>
            </w:r>
          </w:p>
        </w:tc>
        <w:tc>
          <w:tcPr>
            <w:tcW w:w="1514" w:type="dxa"/>
            <w:shd w:val="clear" w:color="auto" w:fill="E7E6E6" w:themeFill="background2"/>
            <w:vAlign w:val="center"/>
          </w:tcPr>
          <w:p w14:paraId="210F00A0" w14:textId="4A60D9C7" w:rsidR="00B50CA6" w:rsidRPr="00B50CA6" w:rsidRDefault="00B50CA6" w:rsidP="00B50CA6">
            <w:r w:rsidRPr="00B50CA6">
              <w:t>Assessment focus</w:t>
            </w:r>
          </w:p>
        </w:tc>
        <w:tc>
          <w:tcPr>
            <w:tcW w:w="2449" w:type="dxa"/>
            <w:shd w:val="clear" w:color="auto" w:fill="E7E6E6" w:themeFill="background2"/>
            <w:vAlign w:val="center"/>
          </w:tcPr>
          <w:p w14:paraId="5797BBFC" w14:textId="1D315D54" w:rsidR="00B50CA6" w:rsidRPr="00B50CA6" w:rsidRDefault="00B50CA6" w:rsidP="00B50CA6">
            <w:r w:rsidRPr="00B50CA6">
              <w:t>Description</w:t>
            </w:r>
          </w:p>
        </w:tc>
      </w:tr>
      <w:tr w:rsidR="00B50CA6" w:rsidRPr="00B50CA6" w14:paraId="73690581" w14:textId="77777777" w:rsidTr="7C146941">
        <w:tc>
          <w:tcPr>
            <w:tcW w:w="1559" w:type="dxa"/>
            <w:shd w:val="clear" w:color="auto" w:fill="auto"/>
            <w:vAlign w:val="center"/>
          </w:tcPr>
          <w:p w14:paraId="35F204C0" w14:textId="77777777" w:rsidR="00B50CA6" w:rsidRPr="00B50CA6" w:rsidRDefault="00B50CA6" w:rsidP="00B50CA6">
            <w:r w:rsidRPr="00B50CA6">
              <w:t>Professional practice report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0ACF7CB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6AAE982" w14:textId="378D9C0B" w:rsidR="00B50CA6" w:rsidRPr="00B50CA6" w:rsidRDefault="00B50CA6" w:rsidP="00B50CA6">
            <w:r w:rsidRPr="00B50CA6">
              <w:t>Professional practice report (1000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2B95A53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BCAF014" w14:textId="77777777" w:rsidR="00B50CA6" w:rsidRPr="00B50CA6" w:rsidRDefault="00B50CA6" w:rsidP="00B50CA6">
            <w:r w:rsidRPr="00B50CA6">
              <w:t>A structured piece of writing which imitates, or directly replicates a format which students might expect to undertake when working in the relevant sector.</w:t>
            </w:r>
          </w:p>
        </w:tc>
      </w:tr>
      <w:tr w:rsidR="00B50CA6" w:rsidRPr="00B50CA6" w14:paraId="185624F3" w14:textId="77777777" w:rsidTr="7C146941">
        <w:tc>
          <w:tcPr>
            <w:tcW w:w="1559" w:type="dxa"/>
            <w:shd w:val="clear" w:color="auto" w:fill="auto"/>
            <w:vAlign w:val="center"/>
          </w:tcPr>
          <w:p w14:paraId="1F0528B1" w14:textId="77777777" w:rsidR="00B50CA6" w:rsidRPr="00B50CA6" w:rsidRDefault="00B50CA6" w:rsidP="00B50CA6">
            <w:r w:rsidRPr="00B50CA6">
              <w:lastRenderedPageBreak/>
              <w:t>Subject specific exercise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F6C779" w14:textId="20B2AFF0" w:rsidR="00B50CA6" w:rsidRPr="00B50CA6" w:rsidRDefault="00B50CA6" w:rsidP="00B50CA6">
            <w:r w:rsidRPr="00B50CA6">
              <w:t>Varies – seek advice from academic services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D4F3723" w14:textId="18698E6D" w:rsidR="00B50CA6" w:rsidRPr="00B50CA6" w:rsidRDefault="00B50CA6" w:rsidP="00B50CA6">
            <w:r w:rsidRPr="00B50CA6">
              <w:t>Subject specific exercise (</w:t>
            </w:r>
            <w:r w:rsidR="009C6078">
              <w:t>…</w:t>
            </w:r>
            <w:r w:rsidRPr="00B50CA6">
              <w:t>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70F4BE5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8EFF351" w14:textId="625ED210" w:rsidR="00B50CA6" w:rsidRPr="00B50CA6" w:rsidRDefault="00B50CA6" w:rsidP="009C6078">
            <w:r w:rsidRPr="00B50CA6">
              <w:t xml:space="preserve">An exercise which imitates, or directly replicates an activity which students might expect to undertake when working in the relevant sector but which is not a structured written report. </w:t>
            </w:r>
            <w:r w:rsidR="0052080A">
              <w:t>Current e</w:t>
            </w:r>
            <w:r w:rsidRPr="00B50CA6">
              <w:t>xamples include;</w:t>
            </w:r>
            <w:r w:rsidR="0052080A">
              <w:t xml:space="preserve"> e</w:t>
            </w:r>
            <w:r w:rsidRPr="00B50CA6">
              <w:t>quine ration exercises</w:t>
            </w:r>
            <w:r w:rsidR="0052080A">
              <w:t>, c</w:t>
            </w:r>
            <w:r w:rsidRPr="00B50CA6">
              <w:t>oding exercises</w:t>
            </w:r>
            <w:r w:rsidR="0052080A">
              <w:t>, c</w:t>
            </w:r>
            <w:r w:rsidRPr="00B50CA6">
              <w:t>ircuit design exercises</w:t>
            </w:r>
            <w:r w:rsidR="0052080A">
              <w:t>, s</w:t>
            </w:r>
            <w:r w:rsidRPr="00B50CA6">
              <w:t>pecies identification</w:t>
            </w:r>
            <w:r w:rsidR="0052080A">
              <w:t xml:space="preserve"> tasks, and wine tasting </w:t>
            </w:r>
            <w:r w:rsidR="009C6078">
              <w:t>exercises.</w:t>
            </w:r>
          </w:p>
        </w:tc>
      </w:tr>
      <w:tr w:rsidR="00B50CA6" w:rsidRPr="00B50CA6" w14:paraId="35D9DBB3" w14:textId="77777777" w:rsidTr="7C146941">
        <w:tc>
          <w:tcPr>
            <w:tcW w:w="1559" w:type="dxa"/>
            <w:shd w:val="clear" w:color="auto" w:fill="auto"/>
            <w:vAlign w:val="center"/>
          </w:tcPr>
          <w:p w14:paraId="3BD42C6F" w14:textId="77777777" w:rsidR="00B50CA6" w:rsidRPr="00B50CA6" w:rsidRDefault="00B50CA6" w:rsidP="00B50CA6">
            <w:r w:rsidRPr="00B50CA6">
              <w:t>Skills portfolio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B973F7" w14:textId="77777777" w:rsidR="00B50CA6" w:rsidRPr="00B50CA6" w:rsidRDefault="00B50CA6" w:rsidP="00B50CA6">
            <w:r w:rsidRPr="00B50CA6">
              <w:t>Number of skills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6A2BC2C" w14:textId="77777777" w:rsidR="00B50CA6" w:rsidRPr="00B50CA6" w:rsidRDefault="00B50CA6" w:rsidP="00B50CA6">
            <w:r w:rsidRPr="00B50CA6">
              <w:t>Skills portfolio (6 skills)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299D911" w14:textId="77777777" w:rsidR="00B50CA6" w:rsidRPr="00B50CA6" w:rsidRDefault="00B50CA6" w:rsidP="00B50CA6">
            <w:r w:rsidRPr="00B50CA6">
              <w:t>Scientific</w:t>
            </w:r>
          </w:p>
          <w:p w14:paraId="53293253" w14:textId="77777777" w:rsidR="00B50CA6" w:rsidRPr="00B50CA6" w:rsidRDefault="00B50CA6" w:rsidP="00B50CA6">
            <w:r w:rsidRPr="00B50CA6">
              <w:t>Professional practice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E7C6920" w14:textId="10DCA7B7" w:rsidR="00B50CA6" w:rsidRPr="00B50CA6" w:rsidRDefault="00B50CA6" w:rsidP="00B50CA6">
            <w:r w:rsidRPr="00B50CA6">
              <w:t>A portfolio which evidences a series of skills, techniques or behaviours this could be presented as a physical item, for example a laboratory notebook, or in a digital format.</w:t>
            </w:r>
          </w:p>
        </w:tc>
      </w:tr>
      <w:tr w:rsidR="00B50CA6" w:rsidRPr="00B50CA6" w14:paraId="2476CCE3" w14:textId="77777777" w:rsidTr="7C146941">
        <w:tc>
          <w:tcPr>
            <w:tcW w:w="1559" w:type="dxa"/>
            <w:shd w:val="clear" w:color="auto" w:fill="auto"/>
            <w:vAlign w:val="center"/>
          </w:tcPr>
          <w:p w14:paraId="01CE2B3D" w14:textId="77777777" w:rsidR="00B50CA6" w:rsidRPr="00B50CA6" w:rsidRDefault="00B50CA6" w:rsidP="00B50CA6">
            <w:r w:rsidRPr="00B50CA6">
              <w:t>Scientific report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D5D6207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286A074" w14:textId="4415CA0F" w:rsidR="00B50CA6" w:rsidRPr="00B50CA6" w:rsidRDefault="00B50CA6" w:rsidP="00B50CA6">
            <w:r w:rsidRPr="00B50CA6">
              <w:t>Scientific report (2000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2813553" w14:textId="77777777" w:rsidR="00B50CA6" w:rsidRPr="00B50CA6" w:rsidRDefault="00B50CA6" w:rsidP="00B50CA6">
            <w:r w:rsidRPr="00B50CA6">
              <w:t>Scientific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1E760BC" w14:textId="2D26B650" w:rsidR="00995644" w:rsidRPr="00B50CA6" w:rsidRDefault="00B50CA6" w:rsidP="00B50CA6">
            <w:r w:rsidRPr="00B50CA6">
              <w:t>A piece of structured writing which follows the format and style of a traditional scientific or laboratory report</w:t>
            </w:r>
            <w:r w:rsidR="00995644">
              <w:t xml:space="preserve">, </w:t>
            </w:r>
            <w:r w:rsidR="00995644" w:rsidRPr="00B50CA6">
              <w:t>through which a student demonstrates learning gained from an in-depth analysis of a topic using primary research techniques.</w:t>
            </w:r>
          </w:p>
        </w:tc>
      </w:tr>
      <w:tr w:rsidR="00B50CA6" w:rsidRPr="00B50CA6" w14:paraId="306905EF" w14:textId="77777777" w:rsidTr="7C146941">
        <w:tc>
          <w:tcPr>
            <w:tcW w:w="1559" w:type="dxa"/>
            <w:shd w:val="clear" w:color="auto" w:fill="auto"/>
            <w:vAlign w:val="center"/>
          </w:tcPr>
          <w:p w14:paraId="7C9EE9F8" w14:textId="77777777" w:rsidR="00B50CA6" w:rsidRPr="00B50CA6" w:rsidRDefault="00B50CA6" w:rsidP="00B50CA6">
            <w:r w:rsidRPr="00B50CA6">
              <w:t>Essay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782C733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F20F652" w14:textId="77777777" w:rsidR="00B50CA6" w:rsidRPr="00B50CA6" w:rsidRDefault="00B50CA6" w:rsidP="00B50CA6">
            <w:r w:rsidRPr="00B50CA6">
              <w:t>Essay (1800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36A1C05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8C1DDDC" w14:textId="77777777" w:rsidR="00B50CA6" w:rsidRPr="00B50CA6" w:rsidRDefault="00B50CA6" w:rsidP="00B50CA6">
            <w:r w:rsidRPr="00B50CA6">
              <w:t xml:space="preserve">A piece of structured writing through which a student presents an explanation, </w:t>
            </w:r>
            <w:r w:rsidRPr="00B50CA6">
              <w:lastRenderedPageBreak/>
              <w:t>argument or analysis regarding a specific question or topic using secondary research, or critical analysis.</w:t>
            </w:r>
          </w:p>
        </w:tc>
      </w:tr>
      <w:tr w:rsidR="00B50CA6" w:rsidRPr="00B50CA6" w14:paraId="5055406F" w14:textId="77777777" w:rsidTr="7C146941">
        <w:tc>
          <w:tcPr>
            <w:tcW w:w="1559" w:type="dxa"/>
            <w:shd w:val="clear" w:color="auto" w:fill="auto"/>
            <w:vAlign w:val="center"/>
          </w:tcPr>
          <w:p w14:paraId="48156077" w14:textId="77777777" w:rsidR="00B50CA6" w:rsidRPr="00B50CA6" w:rsidRDefault="00B50CA6" w:rsidP="00B50CA6">
            <w:r w:rsidRPr="00B50CA6">
              <w:lastRenderedPageBreak/>
              <w:t>Academic poster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FD010B" w14:textId="0714BB1A" w:rsidR="00B50CA6" w:rsidRPr="00B50CA6" w:rsidRDefault="00B50CA6" w:rsidP="008317D5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F1DBC77" w14:textId="4953D7F3" w:rsidR="00B50CA6" w:rsidRPr="00B50CA6" w:rsidRDefault="00B50CA6" w:rsidP="00B50CA6">
            <w:r w:rsidRPr="00B50CA6">
              <w:t>Academic poster (500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B285522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556DC7B" w14:textId="77777777" w:rsidR="00B50CA6" w:rsidRPr="00B50CA6" w:rsidRDefault="00B50CA6" w:rsidP="00B50CA6">
            <w:r w:rsidRPr="00B50CA6">
              <w:t>A traditional academic poster, presenting academic information through a combination of visual imagery, charts and text with consideration for both the content and layout of the poster.</w:t>
            </w:r>
          </w:p>
        </w:tc>
      </w:tr>
      <w:tr w:rsidR="00B50CA6" w:rsidRPr="00B50CA6" w14:paraId="13E21D1F" w14:textId="77777777" w:rsidTr="7C146941">
        <w:tc>
          <w:tcPr>
            <w:tcW w:w="1559" w:type="dxa"/>
            <w:shd w:val="clear" w:color="auto" w:fill="auto"/>
            <w:vAlign w:val="center"/>
          </w:tcPr>
          <w:p w14:paraId="7195D5C9" w14:textId="77777777" w:rsidR="00B50CA6" w:rsidRPr="00B50CA6" w:rsidRDefault="00B50CA6" w:rsidP="00B50CA6">
            <w:r w:rsidRPr="00B50CA6">
              <w:t>Literature review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377CB4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7B7C276" w14:textId="37AD6862" w:rsidR="00B50CA6" w:rsidRPr="00B50CA6" w:rsidRDefault="00B50CA6" w:rsidP="00B50CA6">
            <w:r w:rsidRPr="00B50CA6">
              <w:t>Literature review (2000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F678B2E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25361F7" w14:textId="77777777" w:rsidR="00B50CA6" w:rsidRPr="00B50CA6" w:rsidRDefault="00B50CA6" w:rsidP="00B50CA6">
            <w:r w:rsidRPr="00B50CA6">
              <w:t>A piece of structured writing through which a student presents an overview of academic sources which provides a description, summary and critical evaluation of these sources in relation to the research problem under investigation.</w:t>
            </w:r>
          </w:p>
        </w:tc>
      </w:tr>
      <w:tr w:rsidR="00B50CA6" w:rsidRPr="00B50CA6" w14:paraId="64C46C44" w14:textId="77777777" w:rsidTr="7C146941">
        <w:tc>
          <w:tcPr>
            <w:tcW w:w="1559" w:type="dxa"/>
            <w:shd w:val="clear" w:color="auto" w:fill="auto"/>
            <w:vAlign w:val="center"/>
          </w:tcPr>
          <w:p w14:paraId="6483E050" w14:textId="77777777" w:rsidR="00B50CA6" w:rsidRPr="00B50CA6" w:rsidRDefault="00B50CA6" w:rsidP="00B50CA6">
            <w:r w:rsidRPr="00B50CA6">
              <w:t>Research proposal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24143CA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CD27759" w14:textId="5D033909" w:rsidR="00B50CA6" w:rsidRPr="00B50CA6" w:rsidRDefault="00B50CA6" w:rsidP="00B50CA6">
            <w:r w:rsidRPr="00B50CA6">
              <w:t>Research proposal (1000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002A8FE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119C5C1" w14:textId="77777777" w:rsidR="00B50CA6" w:rsidRPr="00B50CA6" w:rsidRDefault="00B50CA6" w:rsidP="00B50CA6">
            <w:r w:rsidRPr="00B50CA6">
              <w:t>A piece of structured writing in which a student summarises a proposed research problem, setting out the central question which will be investigated with reference to current academic literature.</w:t>
            </w:r>
          </w:p>
        </w:tc>
      </w:tr>
      <w:tr w:rsidR="00B50CA6" w:rsidRPr="00B50CA6" w14:paraId="3269CF23" w14:textId="77777777" w:rsidTr="7C146941">
        <w:tc>
          <w:tcPr>
            <w:tcW w:w="1559" w:type="dxa"/>
            <w:shd w:val="clear" w:color="auto" w:fill="auto"/>
            <w:vAlign w:val="center"/>
          </w:tcPr>
          <w:p w14:paraId="5E7A6B7B" w14:textId="77777777" w:rsidR="00B50CA6" w:rsidRPr="00B50CA6" w:rsidRDefault="00B50CA6" w:rsidP="00B50CA6">
            <w:r w:rsidRPr="00B50CA6">
              <w:t>Dissertation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7A346A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0397B1D" w14:textId="77777777" w:rsidR="00B50CA6" w:rsidRPr="00B50CA6" w:rsidRDefault="00B50CA6" w:rsidP="00B50CA6">
            <w:r w:rsidRPr="00B50CA6">
              <w:t>Dissertation (9000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7289418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AC63EF3" w14:textId="77777777" w:rsidR="00B50CA6" w:rsidRPr="00B50CA6" w:rsidRDefault="00B50CA6" w:rsidP="00B50CA6">
            <w:r w:rsidRPr="00B50CA6">
              <w:t xml:space="preserve">An extended piece of structured writing through which a student demonstrates learning gained from an in-depth analysis </w:t>
            </w:r>
            <w:r w:rsidRPr="00B50CA6">
              <w:lastRenderedPageBreak/>
              <w:t>or study of a topic using either primary or secondary research techniques. A dissertation is used as a capstone assessment for a degree programme.</w:t>
            </w:r>
          </w:p>
        </w:tc>
      </w:tr>
      <w:tr w:rsidR="00B50CA6" w:rsidRPr="00B50CA6" w14:paraId="241745B7" w14:textId="77777777" w:rsidTr="7C146941">
        <w:tc>
          <w:tcPr>
            <w:tcW w:w="1559" w:type="dxa"/>
            <w:shd w:val="clear" w:color="auto" w:fill="auto"/>
            <w:vAlign w:val="center"/>
          </w:tcPr>
          <w:p w14:paraId="203C49E8" w14:textId="77777777" w:rsidR="00B50CA6" w:rsidRPr="00B50CA6" w:rsidRDefault="00B50CA6" w:rsidP="00B50CA6">
            <w:r w:rsidRPr="00B50CA6">
              <w:lastRenderedPageBreak/>
              <w:t>Grant application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3EC1B1A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3D89BC5" w14:textId="77777777" w:rsidR="00B50CA6" w:rsidRPr="00B50CA6" w:rsidRDefault="00B50CA6" w:rsidP="00B50CA6">
            <w:r w:rsidRPr="00B50CA6">
              <w:t>Grant application (1000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AE19D83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C646F87" w14:textId="0C102676" w:rsidR="00B50CA6" w:rsidRPr="00B50CA6" w:rsidRDefault="60E5A01A" w:rsidP="7C146941">
            <w:pPr>
              <w:rPr>
                <w:highlight w:val="magenta"/>
              </w:rPr>
            </w:pPr>
            <w:r>
              <w:t>A piece of structured writing which replicates the format of an academic grant proposal.</w:t>
            </w:r>
          </w:p>
        </w:tc>
      </w:tr>
      <w:tr w:rsidR="00B50CA6" w:rsidRPr="00B50CA6" w14:paraId="77FE6C15" w14:textId="77777777" w:rsidTr="7C146941">
        <w:tc>
          <w:tcPr>
            <w:tcW w:w="1559" w:type="dxa"/>
            <w:shd w:val="clear" w:color="auto" w:fill="auto"/>
            <w:vAlign w:val="center"/>
          </w:tcPr>
          <w:p w14:paraId="2BDA55BF" w14:textId="77777777" w:rsidR="00B50CA6" w:rsidRPr="00B50CA6" w:rsidRDefault="00B50CA6" w:rsidP="00B50CA6">
            <w:r w:rsidRPr="00B50CA6">
              <w:t>Research paper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218592D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B21F68E" w14:textId="77777777" w:rsidR="00B50CA6" w:rsidRPr="00B50CA6" w:rsidRDefault="00B50CA6" w:rsidP="00B50CA6">
            <w:r w:rsidRPr="00B50CA6">
              <w:t>Research paper (1500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EC5EBE4" w14:textId="77777777" w:rsidR="00B50CA6" w:rsidRPr="00B50CA6" w:rsidRDefault="00B50CA6" w:rsidP="00B50CA6">
            <w:r w:rsidRPr="00B50CA6">
              <w:t>Academic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9F786E3" w14:textId="77777777" w:rsidR="00B50CA6" w:rsidRPr="00B50CA6" w:rsidRDefault="00B50CA6" w:rsidP="00B50CA6">
            <w:r w:rsidRPr="00B50CA6">
              <w:t>A piece of structured writing, replicating the format of an academic journal, through which a student demonstrates learning gained from an in-depth analysis or study of a topic using either primary or secondary research techniques.</w:t>
            </w:r>
          </w:p>
        </w:tc>
      </w:tr>
      <w:tr w:rsidR="00B50CA6" w:rsidRPr="00B50CA6" w14:paraId="10DAB566" w14:textId="77777777" w:rsidTr="7C146941">
        <w:tc>
          <w:tcPr>
            <w:tcW w:w="1559" w:type="dxa"/>
            <w:shd w:val="clear" w:color="auto" w:fill="auto"/>
            <w:vAlign w:val="center"/>
          </w:tcPr>
          <w:p w14:paraId="7685559D" w14:textId="77777777" w:rsidR="00B50CA6" w:rsidRPr="00B50CA6" w:rsidRDefault="00B50CA6" w:rsidP="00B50CA6">
            <w:r w:rsidRPr="00B50CA6">
              <w:t>Online test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4326F21" w14:textId="77777777" w:rsidR="00B50CA6" w:rsidRPr="00B50CA6" w:rsidRDefault="00B50CA6" w:rsidP="00B50CA6">
            <w:r w:rsidRPr="00B50CA6">
              <w:t>Time limit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DDE3202" w14:textId="77777777" w:rsidR="00B50CA6" w:rsidRPr="00B50CA6" w:rsidRDefault="00B50CA6" w:rsidP="00B50CA6">
            <w:r w:rsidRPr="00B50CA6">
              <w:t>Online test (30 minutes)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0960935" w14:textId="77777777" w:rsidR="00B50CA6" w:rsidRPr="00B50CA6" w:rsidRDefault="00B50CA6" w:rsidP="00B50CA6">
            <w:r w:rsidRPr="00B50CA6">
              <w:t>Academic</w:t>
            </w:r>
          </w:p>
          <w:p w14:paraId="76EC1389" w14:textId="77777777" w:rsidR="00B50CA6" w:rsidRPr="00B50CA6" w:rsidRDefault="00B50CA6" w:rsidP="00B50CA6">
            <w:r w:rsidRPr="00B50CA6">
              <w:t>Scientific</w:t>
            </w:r>
          </w:p>
          <w:p w14:paraId="59B67471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79DEEB0" w14:textId="77777777" w:rsidR="00B50CA6" w:rsidRPr="00B50CA6" w:rsidRDefault="00B50CA6" w:rsidP="00B50CA6">
            <w:r w:rsidRPr="00B50CA6">
              <w:t xml:space="preserve">A timed, online quiz which consists of one or more questions including multiple choice questions, long answer questions, short answer questions or statistical/mathematical questions. The rubric for an online test may be similar in format to a formal written exam but online tests are not invigilated. The test may take place at a scheduled time, or may be available for students to complete at any point during a </w:t>
            </w:r>
            <w:r w:rsidRPr="00B50CA6">
              <w:lastRenderedPageBreak/>
              <w:t>longer period of time; once started the test must be completed within the time limit.</w:t>
            </w:r>
          </w:p>
        </w:tc>
      </w:tr>
      <w:tr w:rsidR="00B50CA6" w:rsidRPr="00B50CA6" w14:paraId="64ABA5AD" w14:textId="77777777" w:rsidTr="7C146941">
        <w:tc>
          <w:tcPr>
            <w:tcW w:w="1559" w:type="dxa"/>
            <w:shd w:val="clear" w:color="auto" w:fill="auto"/>
            <w:vAlign w:val="center"/>
          </w:tcPr>
          <w:p w14:paraId="316DCD44" w14:textId="77777777" w:rsidR="00B50CA6" w:rsidRPr="00B50CA6" w:rsidRDefault="00B50CA6" w:rsidP="00B50CA6">
            <w:r w:rsidRPr="00B50CA6">
              <w:lastRenderedPageBreak/>
              <w:t>Problem sheet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C6880EB" w14:textId="5339A44C" w:rsidR="00B50CA6" w:rsidRPr="00B50CA6" w:rsidRDefault="00B50CA6" w:rsidP="00B50CA6">
            <w:r w:rsidRPr="00B50CA6">
              <w:t xml:space="preserve">Word count or </w:t>
            </w:r>
          </w:p>
          <w:p w14:paraId="3026A1B2" w14:textId="77777777" w:rsidR="00B50CA6" w:rsidRPr="00B50CA6" w:rsidRDefault="00B50CA6" w:rsidP="00B50CA6">
            <w:r w:rsidRPr="00B50CA6">
              <w:t>Question type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515F9D6" w14:textId="616C70BB" w:rsidR="00B50CA6" w:rsidRPr="00B50CA6" w:rsidRDefault="00B50CA6" w:rsidP="00B50CA6">
            <w:r w:rsidRPr="00B50CA6">
              <w:t>Problem sheet (short answer questions) or problem sheet (1000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5772E43" w14:textId="77777777" w:rsidR="00B50CA6" w:rsidRPr="00B50CA6" w:rsidRDefault="00B50CA6" w:rsidP="00B50CA6">
            <w:r w:rsidRPr="00B50CA6">
              <w:t>Academic</w:t>
            </w:r>
          </w:p>
          <w:p w14:paraId="7836AAF6" w14:textId="77777777" w:rsidR="00B50CA6" w:rsidRPr="00B50CA6" w:rsidRDefault="00B50CA6" w:rsidP="00B50CA6">
            <w:r w:rsidRPr="00B50CA6">
              <w:t>Scientific</w:t>
            </w:r>
          </w:p>
          <w:p w14:paraId="64498B7D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4791871" w14:textId="77777777" w:rsidR="00B50CA6" w:rsidRPr="00B50CA6" w:rsidRDefault="00B50CA6" w:rsidP="00B50CA6">
            <w:r w:rsidRPr="00B50CA6">
              <w:t>An assignment which consists of one or more questions including multiple choice questions, long answer questions, short answer questions or statistical/mathematical questions. The rubric for a problem sheet may be similar in format to a formal written exam but problem sheets are not invigilated or scheduled. Students are given a defined period of time, usually 1 or 2 weeks, to complete the problem sheet and submit their answers.</w:t>
            </w:r>
          </w:p>
        </w:tc>
      </w:tr>
      <w:tr w:rsidR="00B50CA6" w:rsidRPr="00B50CA6" w14:paraId="0C0D5746" w14:textId="77777777" w:rsidTr="7C146941">
        <w:tc>
          <w:tcPr>
            <w:tcW w:w="1559" w:type="dxa"/>
            <w:shd w:val="clear" w:color="auto" w:fill="auto"/>
            <w:vAlign w:val="center"/>
          </w:tcPr>
          <w:p w14:paraId="27FFDD27" w14:textId="77777777" w:rsidR="00B50CA6" w:rsidRPr="00B50CA6" w:rsidRDefault="00B50CA6" w:rsidP="00B50CA6">
            <w:r w:rsidRPr="00B50CA6">
              <w:t>Written self-reflection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DD3EBF3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60F8764" w14:textId="77777777" w:rsidR="00B50CA6" w:rsidRPr="00B50CA6" w:rsidRDefault="00B50CA6" w:rsidP="00B50CA6">
            <w:r w:rsidRPr="00B50CA6">
              <w:t>Written self-reflection (500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B25B9E1" w14:textId="77777777" w:rsidR="00B50CA6" w:rsidRPr="00B50CA6" w:rsidRDefault="00B50CA6" w:rsidP="00B50CA6">
            <w:r w:rsidRPr="00B50CA6">
              <w:t>Academic</w:t>
            </w:r>
          </w:p>
          <w:p w14:paraId="2158F03D" w14:textId="77777777" w:rsidR="00B50CA6" w:rsidRPr="00B50CA6" w:rsidRDefault="00B50CA6" w:rsidP="00B50CA6">
            <w:r w:rsidRPr="00B50CA6">
              <w:t>Scientific</w:t>
            </w:r>
          </w:p>
          <w:p w14:paraId="6C05259B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C809629" w14:textId="77777777" w:rsidR="00B50CA6" w:rsidRPr="00B50CA6" w:rsidRDefault="00B50CA6" w:rsidP="00B50CA6">
            <w:r w:rsidRPr="00B50CA6">
              <w:t>A loosely structured, or unstructured piece of writing through which a student reflects on their own learning and development with regards to a specific activity, for example an individual assessment or a placement.</w:t>
            </w:r>
          </w:p>
        </w:tc>
      </w:tr>
      <w:tr w:rsidR="00B50CA6" w:rsidRPr="00B50CA6" w14:paraId="50905E34" w14:textId="77777777" w:rsidTr="7C146941">
        <w:tc>
          <w:tcPr>
            <w:tcW w:w="1559" w:type="dxa"/>
            <w:shd w:val="clear" w:color="auto" w:fill="auto"/>
            <w:vAlign w:val="center"/>
          </w:tcPr>
          <w:p w14:paraId="76D9CAA1" w14:textId="388942AC" w:rsidR="00B50CA6" w:rsidRPr="00B50CA6" w:rsidRDefault="00B50CA6" w:rsidP="00B50CA6">
            <w:r w:rsidRPr="00B50CA6">
              <w:t>Audio</w:t>
            </w:r>
            <w:r w:rsidR="008317D5">
              <w:t>-</w:t>
            </w:r>
            <w:r w:rsidRPr="00B50CA6">
              <w:t>visual media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C3F7727" w14:textId="28F6D953" w:rsidR="00B50CA6" w:rsidRPr="00B50CA6" w:rsidRDefault="00B50CA6" w:rsidP="00B50CA6">
            <w:r w:rsidRPr="00B50CA6">
              <w:t xml:space="preserve">Time limit or </w:t>
            </w:r>
          </w:p>
          <w:p w14:paraId="49CAE5F7" w14:textId="77777777" w:rsidR="00B50CA6" w:rsidRPr="00B50CA6" w:rsidRDefault="00B50CA6" w:rsidP="00B50CA6">
            <w:r w:rsidRPr="00B50CA6">
              <w:t>Slide limit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7E5038F" w14:textId="7AACF35C" w:rsidR="00B50CA6" w:rsidRPr="00B50CA6" w:rsidRDefault="00B50CA6" w:rsidP="00B50CA6">
            <w:r w:rsidRPr="00B50CA6">
              <w:t xml:space="preserve">Audio visual media (5 minutes) or </w:t>
            </w:r>
            <w:r w:rsidR="008317D5">
              <w:t xml:space="preserve">Audio-visual </w:t>
            </w:r>
            <w:r w:rsidR="008317D5">
              <w:lastRenderedPageBreak/>
              <w:t>media</w:t>
            </w:r>
            <w:r w:rsidRPr="00B50CA6">
              <w:t xml:space="preserve"> (6 slides)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AEDF995" w14:textId="77777777" w:rsidR="00B50CA6" w:rsidRPr="00B50CA6" w:rsidRDefault="00B50CA6" w:rsidP="00B50CA6">
            <w:r w:rsidRPr="00B50CA6">
              <w:lastRenderedPageBreak/>
              <w:t>Academic</w:t>
            </w:r>
          </w:p>
          <w:p w14:paraId="668C86CB" w14:textId="77777777" w:rsidR="00B50CA6" w:rsidRPr="00B50CA6" w:rsidRDefault="00B50CA6" w:rsidP="00B50CA6">
            <w:r w:rsidRPr="00B50CA6">
              <w:t>Scientific</w:t>
            </w:r>
          </w:p>
          <w:p w14:paraId="381C0665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62E12B5" w14:textId="4379A023" w:rsidR="00B50CA6" w:rsidRPr="00B50CA6" w:rsidRDefault="7C146941" w:rsidP="7C146941">
            <w:pPr>
              <w:rPr>
                <w:rFonts w:eastAsia="Calibri"/>
              </w:rPr>
            </w:pPr>
            <w:r w:rsidRPr="7C146941">
              <w:rPr>
                <w:rFonts w:eastAsia="Tahoma"/>
              </w:rPr>
              <w:t xml:space="preserve">An item of audio and/or visual media including videos, pre-recorded </w:t>
            </w:r>
            <w:r w:rsidRPr="7C146941">
              <w:rPr>
                <w:rFonts w:eastAsia="Tahoma"/>
              </w:rPr>
              <w:lastRenderedPageBreak/>
              <w:t>presentations, podcasts etc.</w:t>
            </w:r>
          </w:p>
        </w:tc>
      </w:tr>
      <w:tr w:rsidR="00B50CA6" w:rsidRPr="00B50CA6" w14:paraId="7BDE788C" w14:textId="77777777" w:rsidTr="7C146941">
        <w:tc>
          <w:tcPr>
            <w:tcW w:w="1559" w:type="dxa"/>
            <w:shd w:val="clear" w:color="auto" w:fill="auto"/>
            <w:vAlign w:val="center"/>
          </w:tcPr>
          <w:p w14:paraId="4D7AD06C" w14:textId="2A2BB9FA" w:rsidR="00B50CA6" w:rsidRPr="00B50CA6" w:rsidRDefault="00B50CA6" w:rsidP="00B50CA6">
            <w:r w:rsidRPr="00B50CA6">
              <w:lastRenderedPageBreak/>
              <w:t xml:space="preserve">Textual </w:t>
            </w:r>
            <w:r w:rsidR="008317D5">
              <w:t xml:space="preserve">and </w:t>
            </w:r>
            <w:r w:rsidRPr="00B50CA6">
              <w:t>visual media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B9AAFC6" w14:textId="77777777" w:rsidR="00B50CA6" w:rsidRPr="00B50CA6" w:rsidRDefault="00B50CA6" w:rsidP="00B50CA6">
            <w:r w:rsidRPr="00B50CA6">
              <w:t>Word count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8563863" w14:textId="6890B34F" w:rsidR="00B50CA6" w:rsidRPr="00B50CA6" w:rsidRDefault="008317D5" w:rsidP="00B50CA6">
            <w:r w:rsidRPr="00B50CA6">
              <w:t xml:space="preserve">Textual </w:t>
            </w:r>
            <w:r>
              <w:t xml:space="preserve">and </w:t>
            </w:r>
            <w:r w:rsidRPr="00B50CA6">
              <w:t>visual</w:t>
            </w:r>
            <w:r w:rsidR="00B50CA6" w:rsidRPr="00B50CA6">
              <w:t xml:space="preserve"> media (800 words)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7DC7DE5A" w14:textId="77777777" w:rsidR="00B50CA6" w:rsidRPr="00B50CA6" w:rsidRDefault="00B50CA6" w:rsidP="00B50CA6">
            <w:r w:rsidRPr="00B50CA6">
              <w:t>Academic</w:t>
            </w:r>
          </w:p>
          <w:p w14:paraId="77AA1EC6" w14:textId="77777777" w:rsidR="00B50CA6" w:rsidRPr="00B50CA6" w:rsidRDefault="00B50CA6" w:rsidP="00B50CA6">
            <w:r w:rsidRPr="00B50CA6">
              <w:t>Scientific</w:t>
            </w:r>
          </w:p>
          <w:p w14:paraId="546B8A57" w14:textId="77777777" w:rsidR="00B50CA6" w:rsidRPr="00B50CA6" w:rsidRDefault="00B50CA6" w:rsidP="00B50CA6">
            <w:r w:rsidRPr="00B50CA6">
              <w:t>Professional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AF88A4E" w14:textId="0D2B67FF" w:rsidR="00B50CA6" w:rsidRPr="00B50CA6" w:rsidRDefault="7C146941" w:rsidP="7C146941">
            <w:r>
              <w:t>An item of textual and/or visual media including magazine articles, posters leaflets, infographics or press releases.</w:t>
            </w:r>
          </w:p>
        </w:tc>
      </w:tr>
    </w:tbl>
    <w:p w14:paraId="07C43163" w14:textId="77777777" w:rsidR="00D220E3" w:rsidRDefault="00D220E3" w:rsidP="00EB29CD"/>
    <w:p w14:paraId="216A2880" w14:textId="70195940" w:rsidR="00D01424" w:rsidRDefault="00D01424" w:rsidP="00D220E3">
      <w:pPr>
        <w:pStyle w:val="Heading3"/>
      </w:pPr>
      <w:r>
        <w:t>Practical</w:t>
      </w:r>
      <w:r w:rsidR="00D220E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694"/>
        <w:gridCol w:w="1799"/>
        <w:gridCol w:w="1513"/>
        <w:gridCol w:w="2450"/>
      </w:tblGrid>
      <w:tr w:rsidR="00D67118" w:rsidRPr="00D01424" w14:paraId="5ED436BD" w14:textId="77777777" w:rsidTr="00D67118">
        <w:tc>
          <w:tcPr>
            <w:tcW w:w="0" w:type="auto"/>
            <w:shd w:val="clear" w:color="auto" w:fill="E7E6E6" w:themeFill="background2"/>
            <w:vAlign w:val="center"/>
          </w:tcPr>
          <w:p w14:paraId="4810F989" w14:textId="509C1140" w:rsidR="00D67118" w:rsidRPr="00D01424" w:rsidRDefault="00D67118" w:rsidP="00D01424">
            <w:r w:rsidRPr="00D01424">
              <w:t>Component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E41CB25" w14:textId="7B3B9132" w:rsidR="00D67118" w:rsidRPr="00D01424" w:rsidRDefault="00D67118" w:rsidP="00D01424">
            <w:r w:rsidRPr="00D01424">
              <w:t>Quantification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D1B2421" w14:textId="6369710E" w:rsidR="00D67118" w:rsidRPr="00D01424" w:rsidRDefault="00D67118" w:rsidP="00D01424">
            <w:r w:rsidRPr="00D01424">
              <w:t>Example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7185DA1" w14:textId="560EC6E5" w:rsidR="00D67118" w:rsidRPr="00D01424" w:rsidRDefault="00D67118" w:rsidP="00D01424">
            <w:r w:rsidRPr="00D01424">
              <w:t>Assessment focus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CCC909A" w14:textId="338A4957" w:rsidR="00D67118" w:rsidRPr="00D01424" w:rsidRDefault="00D67118" w:rsidP="00D01424">
            <w:r w:rsidRPr="00D01424">
              <w:t>Description</w:t>
            </w:r>
          </w:p>
        </w:tc>
      </w:tr>
      <w:tr w:rsidR="00D67118" w:rsidRPr="00D01424" w14:paraId="236678CC" w14:textId="77777777" w:rsidTr="00D67118">
        <w:tc>
          <w:tcPr>
            <w:tcW w:w="0" w:type="auto"/>
            <w:shd w:val="clear" w:color="auto" w:fill="auto"/>
            <w:vAlign w:val="center"/>
          </w:tcPr>
          <w:p w14:paraId="0E44E5DA" w14:textId="77777777" w:rsidR="00D67118" w:rsidRPr="00D01424" w:rsidRDefault="00D67118" w:rsidP="00D67118">
            <w:r w:rsidRPr="00D01424">
              <w:t>Presentation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292F9" w14:textId="66F9B41A" w:rsidR="00D67118" w:rsidRPr="00D01424" w:rsidRDefault="00D67118" w:rsidP="00D67118">
            <w:r w:rsidRPr="00D01424">
              <w:t xml:space="preserve">Time limit </w:t>
            </w:r>
            <w:r w:rsidRPr="00D220E3">
              <w:rPr>
                <w:b/>
              </w:rPr>
              <w:t>or</w:t>
            </w:r>
            <w:r w:rsidRPr="00D01424">
              <w:t xml:space="preserve"> </w:t>
            </w:r>
          </w:p>
          <w:p w14:paraId="233D0578" w14:textId="77777777" w:rsidR="00D67118" w:rsidRPr="00D01424" w:rsidRDefault="00D67118" w:rsidP="00D67118">
            <w:r w:rsidRPr="00D01424">
              <w:t>Slide limit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78A1B" w14:textId="3947A761" w:rsidR="00D67118" w:rsidRPr="00D01424" w:rsidRDefault="00D67118" w:rsidP="00D67118">
            <w:r w:rsidRPr="00D01424">
              <w:t xml:space="preserve">Presentation (5 minutes) </w:t>
            </w:r>
            <w:r w:rsidRPr="00D220E3">
              <w:rPr>
                <w:b/>
              </w:rPr>
              <w:t>or</w:t>
            </w:r>
            <w:r w:rsidRPr="00D01424">
              <w:t xml:space="preserve"> presentation (6 slides)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ED25A" w14:textId="77777777" w:rsidR="00D67118" w:rsidRPr="00D01424" w:rsidRDefault="00D67118" w:rsidP="00D67118">
            <w:r w:rsidRPr="00D01424">
              <w:t>Academic</w:t>
            </w:r>
          </w:p>
          <w:p w14:paraId="2628C733" w14:textId="77777777" w:rsidR="00D67118" w:rsidRPr="00D01424" w:rsidRDefault="00D67118" w:rsidP="00D67118">
            <w:r w:rsidRPr="00D01424">
              <w:t>Scientific</w:t>
            </w:r>
          </w:p>
          <w:p w14:paraId="056EB6CA" w14:textId="77777777" w:rsidR="00D67118" w:rsidRPr="00D01424" w:rsidRDefault="00D67118" w:rsidP="00D67118">
            <w:r w:rsidRPr="00D01424">
              <w:t>Professional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70CE6" w14:textId="77777777" w:rsidR="00D67118" w:rsidRPr="00D01424" w:rsidRDefault="00D67118" w:rsidP="00D67118">
            <w:r w:rsidRPr="00D01424">
              <w:t>A live presentation delivered by the student, in-person or virtually. (see ‘audio visual media’ for presentations which are pre-recorded)</w:t>
            </w:r>
          </w:p>
        </w:tc>
      </w:tr>
      <w:tr w:rsidR="00D67118" w:rsidRPr="00D01424" w14:paraId="7B626D2B" w14:textId="77777777" w:rsidTr="00D67118">
        <w:tc>
          <w:tcPr>
            <w:tcW w:w="0" w:type="auto"/>
            <w:shd w:val="clear" w:color="auto" w:fill="auto"/>
            <w:vAlign w:val="center"/>
          </w:tcPr>
          <w:p w14:paraId="2D34E827" w14:textId="77777777" w:rsidR="00D67118" w:rsidRPr="00D01424" w:rsidRDefault="00D67118" w:rsidP="00D67118">
            <w:r w:rsidRPr="00D01424">
              <w:t>Role-play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AE2ED" w14:textId="77777777" w:rsidR="00D67118" w:rsidRPr="00D01424" w:rsidRDefault="00D67118" w:rsidP="00D67118">
            <w:r w:rsidRPr="00D01424">
              <w:t>Time limit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0983B" w14:textId="77777777" w:rsidR="00D67118" w:rsidRPr="00D01424" w:rsidRDefault="00D67118" w:rsidP="00D67118">
            <w:r w:rsidRPr="00D01424">
              <w:t>Role-play (10 minutes)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B2F31" w14:textId="77777777" w:rsidR="00D67118" w:rsidRPr="00D01424" w:rsidRDefault="00D67118" w:rsidP="00D67118">
            <w:r w:rsidRPr="00D01424">
              <w:t>Professional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E1AAF" w14:textId="77777777" w:rsidR="00D67118" w:rsidRPr="00D01424" w:rsidRDefault="00D67118" w:rsidP="00D67118">
            <w:r w:rsidRPr="00D01424">
              <w:t>A timed role-play between two or more students, or between a student and a third-party participant. The participant must not be the assessor.</w:t>
            </w:r>
          </w:p>
        </w:tc>
      </w:tr>
      <w:tr w:rsidR="00D67118" w:rsidRPr="00D01424" w14:paraId="75FE9FAF" w14:textId="77777777" w:rsidTr="00D67118">
        <w:tc>
          <w:tcPr>
            <w:tcW w:w="0" w:type="auto"/>
            <w:shd w:val="clear" w:color="auto" w:fill="auto"/>
            <w:vAlign w:val="center"/>
          </w:tcPr>
          <w:p w14:paraId="0A030804" w14:textId="77777777" w:rsidR="00D67118" w:rsidRPr="00D01424" w:rsidRDefault="00D67118" w:rsidP="00D67118">
            <w:r w:rsidRPr="00D01424">
              <w:t>Skills observation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74736" w14:textId="7E4D3AE8" w:rsidR="00D67118" w:rsidRPr="00D01424" w:rsidRDefault="00D67118" w:rsidP="00D67118">
            <w:r w:rsidRPr="00D01424">
              <w:t xml:space="preserve">Time limit </w:t>
            </w:r>
            <w:r w:rsidRPr="00D220E3">
              <w:rPr>
                <w:b/>
              </w:rPr>
              <w:t>or</w:t>
            </w:r>
            <w:r w:rsidRPr="00D01424">
              <w:t xml:space="preserve"> </w:t>
            </w:r>
          </w:p>
          <w:p w14:paraId="7C53C093" w14:textId="77777777" w:rsidR="00D67118" w:rsidRPr="00D01424" w:rsidRDefault="00D67118" w:rsidP="00D67118">
            <w:r w:rsidRPr="00D01424">
              <w:t>Number of skills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FBF10" w14:textId="3A76AF79" w:rsidR="00D67118" w:rsidRPr="00D01424" w:rsidRDefault="00D67118" w:rsidP="00D67118">
            <w:r w:rsidRPr="00D01424">
              <w:t xml:space="preserve">Skills observation (10 minutes) </w:t>
            </w:r>
            <w:r w:rsidRPr="00D220E3">
              <w:rPr>
                <w:b/>
              </w:rPr>
              <w:t>or</w:t>
            </w:r>
            <w:r w:rsidRPr="00D01424">
              <w:t xml:space="preserve"> skills observation (5 skills)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26CE9" w14:textId="77777777" w:rsidR="00D67118" w:rsidRPr="00D01424" w:rsidRDefault="00D67118" w:rsidP="00D67118">
            <w:r w:rsidRPr="00D01424">
              <w:t>Scientific</w:t>
            </w:r>
          </w:p>
          <w:p w14:paraId="6D78EC66" w14:textId="77777777" w:rsidR="00D67118" w:rsidRPr="00D01424" w:rsidRDefault="00D67118" w:rsidP="00D67118">
            <w:r w:rsidRPr="00D01424">
              <w:t>Professional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20961" w14:textId="77777777" w:rsidR="00D67118" w:rsidRPr="00D01424" w:rsidRDefault="00D67118" w:rsidP="00D67118">
            <w:r w:rsidRPr="00D01424">
              <w:t>In person observation of a student demonstrating a skill or technique for example wildlife handling, or demonstration of a laboratory technique.</w:t>
            </w:r>
          </w:p>
        </w:tc>
      </w:tr>
      <w:tr w:rsidR="00D67118" w:rsidRPr="00D01424" w14:paraId="21142B0B" w14:textId="77777777" w:rsidTr="00D67118">
        <w:tc>
          <w:tcPr>
            <w:tcW w:w="0" w:type="auto"/>
            <w:shd w:val="clear" w:color="auto" w:fill="auto"/>
            <w:vAlign w:val="center"/>
          </w:tcPr>
          <w:p w14:paraId="4440E76C" w14:textId="77777777" w:rsidR="00D67118" w:rsidRPr="00D01424" w:rsidRDefault="00D67118" w:rsidP="00D67118">
            <w:r w:rsidRPr="00D01424">
              <w:t>Peer review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AF4FA" w14:textId="77777777" w:rsidR="00D67118" w:rsidRPr="00D01424" w:rsidRDefault="00D67118" w:rsidP="00D67118">
            <w:r w:rsidRPr="00D01424">
              <w:t>Not applicable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4CD06" w14:textId="77777777" w:rsidR="00D67118" w:rsidRPr="00D01424" w:rsidRDefault="00D67118" w:rsidP="00D67118">
            <w:r w:rsidRPr="00D01424">
              <w:t>Peer review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F9A67" w14:textId="77777777" w:rsidR="00D67118" w:rsidRPr="00D01424" w:rsidRDefault="00D67118" w:rsidP="00D67118">
            <w:r w:rsidRPr="00D01424">
              <w:t>Academic</w:t>
            </w:r>
          </w:p>
          <w:p w14:paraId="10D34FA4" w14:textId="77777777" w:rsidR="00D67118" w:rsidRPr="00D01424" w:rsidRDefault="00D67118" w:rsidP="00D67118">
            <w:r w:rsidRPr="00D01424">
              <w:t>Scientific</w:t>
            </w:r>
          </w:p>
          <w:p w14:paraId="15A3017A" w14:textId="77777777" w:rsidR="00D67118" w:rsidRPr="00D01424" w:rsidRDefault="00D67118" w:rsidP="00D67118">
            <w:r w:rsidRPr="00D01424">
              <w:t>Professional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C4FF5" w14:textId="77777777" w:rsidR="00D67118" w:rsidRPr="00D01424" w:rsidRDefault="00D67118" w:rsidP="00D67118">
            <w:r w:rsidRPr="00D01424">
              <w:t>An individual peer review of a practical assessment by other students, for example of a presentation.</w:t>
            </w:r>
          </w:p>
        </w:tc>
      </w:tr>
    </w:tbl>
    <w:p w14:paraId="4A60577F" w14:textId="77777777" w:rsidR="00D01424" w:rsidRDefault="00D01424" w:rsidP="00EB29CD"/>
    <w:p w14:paraId="79CD5F78" w14:textId="7B5B2875" w:rsidR="004576E6" w:rsidRDefault="004576E6" w:rsidP="00EB29CD">
      <w:r>
        <w:br w:type="page"/>
      </w:r>
    </w:p>
    <w:p w14:paraId="351768E9" w14:textId="0CFE1F09" w:rsidR="00D24C21" w:rsidRDefault="00175196" w:rsidP="00D62D77">
      <w:pPr>
        <w:pStyle w:val="Heading1"/>
        <w:numPr>
          <w:ilvl w:val="0"/>
          <w:numId w:val="35"/>
        </w:numPr>
      </w:pPr>
      <w:r>
        <w:lastRenderedPageBreak/>
        <w:t>Assessment Submission</w:t>
      </w:r>
    </w:p>
    <w:p w14:paraId="11862BEE" w14:textId="46F8BC5A" w:rsidR="00F135F7" w:rsidRDefault="00175196" w:rsidP="00175196">
      <w:pPr>
        <w:pStyle w:val="Heading2"/>
      </w:pPr>
      <w:r>
        <w:t>Assessment Submission</w:t>
      </w:r>
    </w:p>
    <w:p w14:paraId="7178B858" w14:textId="320E332D" w:rsidR="00175196" w:rsidRDefault="005A621A" w:rsidP="00F135F7">
      <w:r>
        <w:t xml:space="preserve">Submission </w:t>
      </w:r>
      <w:r w:rsidR="00175196">
        <w:t xml:space="preserve">deadlines for each assessment component are </w:t>
      </w:r>
      <w:r>
        <w:t>detailed</w:t>
      </w:r>
      <w:r w:rsidR="00175196">
        <w:t xml:space="preserve"> in the Module Specification for </w:t>
      </w:r>
      <w:r w:rsidR="003A6F65">
        <w:t>the relevant</w:t>
      </w:r>
      <w:r w:rsidR="00175196">
        <w:t xml:space="preserve"> module.</w:t>
      </w:r>
      <w:r>
        <w:t xml:space="preserve"> Changes to module specifications</w:t>
      </w:r>
      <w:r w:rsidR="00F639A2">
        <w:t xml:space="preserve"> must be approved as outlined in the Programme Design and Development Code of Practice.</w:t>
      </w:r>
    </w:p>
    <w:p w14:paraId="4FC7E27E" w14:textId="44CC122F" w:rsidR="00175196" w:rsidRDefault="00175196" w:rsidP="00F135F7">
      <w:r>
        <w:t>Assessments must be submitted by the deadline.</w:t>
      </w:r>
    </w:p>
    <w:p w14:paraId="11D74D03" w14:textId="0A0CAF51" w:rsidR="7C146941" w:rsidRDefault="7C146941" w:rsidP="7C146941">
      <w:pPr>
        <w:rPr>
          <w:rFonts w:eastAsia="Calibri"/>
          <w:highlight w:val="cyan"/>
        </w:rPr>
      </w:pPr>
      <w:r w:rsidRPr="7C146941">
        <w:rPr>
          <w:rFonts w:eastAsia="Calibri"/>
          <w:highlight w:val="cyan"/>
        </w:rPr>
        <w:t>Where assessment submission takes place via Turnitin, an assessment will not be considered ‘submitted’ unless the student has received a submission receipt.</w:t>
      </w:r>
    </w:p>
    <w:p w14:paraId="7A834D99" w14:textId="0A1BF15E" w:rsidR="00175196" w:rsidRDefault="00175196" w:rsidP="00175196">
      <w:pPr>
        <w:pStyle w:val="Heading3"/>
      </w:pPr>
      <w:r>
        <w:t>Late Submission</w:t>
      </w:r>
    </w:p>
    <w:p w14:paraId="3E21B84D" w14:textId="4AF9ABD7" w:rsidR="00A86F84" w:rsidRDefault="00175196" w:rsidP="00F135F7">
      <w:r>
        <w:t xml:space="preserve">Assessments that are submitted within </w:t>
      </w:r>
      <w:r w:rsidR="00D62D77">
        <w:t>5 working</w:t>
      </w:r>
      <w:r>
        <w:t xml:space="preserve"> days of the deadline must be marked as normal </w:t>
      </w:r>
      <w:r w:rsidR="00A86F84">
        <w:t xml:space="preserve">(to ensure students receive proper feedback) </w:t>
      </w:r>
      <w:r>
        <w:t xml:space="preserve">however </w:t>
      </w:r>
      <w:r w:rsidR="00A86F84">
        <w:t xml:space="preserve">the mark </w:t>
      </w:r>
      <w:r w:rsidR="00275EA2">
        <w:t>must</w:t>
      </w:r>
      <w:r w:rsidR="00A86F84">
        <w:t xml:space="preserve"> be </w:t>
      </w:r>
      <w:r>
        <w:t>capped at 40%.</w:t>
      </w:r>
      <w:r w:rsidR="00A86F84">
        <w:t xml:space="preserve"> </w:t>
      </w:r>
    </w:p>
    <w:p w14:paraId="174916AC" w14:textId="552AD2C0" w:rsidR="00C42B25" w:rsidRDefault="00855F77" w:rsidP="00F135F7">
      <w:r>
        <w:t>Where an a</w:t>
      </w:r>
      <w:r w:rsidR="00C42B25">
        <w:t xml:space="preserve">ssessment </w:t>
      </w:r>
      <w:r>
        <w:t xml:space="preserve">is submitted </w:t>
      </w:r>
      <w:r w:rsidR="00C42B25">
        <w:t xml:space="preserve">within </w:t>
      </w:r>
      <w:r w:rsidR="00D62D77">
        <w:t>5 working</w:t>
      </w:r>
      <w:r w:rsidR="00C42B25">
        <w:t xml:space="preserve"> days of the deadline </w:t>
      </w:r>
      <w:r>
        <w:t xml:space="preserve">the Academic responsible for marking </w:t>
      </w:r>
      <w:r w:rsidR="00C42B25">
        <w:t xml:space="preserve">should </w:t>
      </w:r>
      <w:r>
        <w:t xml:space="preserve">update the assessment </w:t>
      </w:r>
      <w:r w:rsidR="00C42B25">
        <w:t xml:space="preserve">status in Quercus </w:t>
      </w:r>
      <w:r>
        <w:t xml:space="preserve">to </w:t>
      </w:r>
      <w:r w:rsidR="00C42B25">
        <w:t xml:space="preserve">“late – capped at 40” and </w:t>
      </w:r>
      <w:r>
        <w:t xml:space="preserve">enter a </w:t>
      </w:r>
      <w:r w:rsidR="00C42B25">
        <w:t>gross mark of “40”. The uncapped mark should be added as a note on the assessment (e.g. “uncapped mark = 67%”).</w:t>
      </w:r>
    </w:p>
    <w:p w14:paraId="37920803" w14:textId="242F0758" w:rsidR="00A86F84" w:rsidRPr="00D62D77" w:rsidRDefault="00A86F84" w:rsidP="0773D114">
      <w:r w:rsidRPr="00D62D77">
        <w:t>Assessment</w:t>
      </w:r>
      <w:r w:rsidR="00F639A2" w:rsidRPr="00D62D77">
        <w:t>s</w:t>
      </w:r>
      <w:r w:rsidRPr="00D62D77">
        <w:t xml:space="preserve"> that are submitted more than </w:t>
      </w:r>
      <w:r w:rsidR="00D62D77">
        <w:t>5 working</w:t>
      </w:r>
      <w:r w:rsidRPr="00D62D77">
        <w:t xml:space="preserve"> days after the deadline </w:t>
      </w:r>
      <w:r w:rsidR="00D62D77">
        <w:t>should not be marked and will be treated as a non-submission.</w:t>
      </w:r>
    </w:p>
    <w:p w14:paraId="362AC88B" w14:textId="23F96C62" w:rsidR="00175196" w:rsidRDefault="00175196" w:rsidP="00175196">
      <w:pPr>
        <w:pStyle w:val="Heading3"/>
      </w:pPr>
      <w:r>
        <w:t>Non-Submission</w:t>
      </w:r>
    </w:p>
    <w:p w14:paraId="598F0D6F" w14:textId="6078651D" w:rsidR="005A621A" w:rsidRDefault="00A86F84" w:rsidP="00A86F84">
      <w:r>
        <w:t xml:space="preserve">Assessments that are not submitted will receive </w:t>
      </w:r>
      <w:r w:rsidR="005A621A">
        <w:t>a mark of 0%.</w:t>
      </w:r>
    </w:p>
    <w:p w14:paraId="4155ABFA" w14:textId="16EF3F85" w:rsidR="005A621A" w:rsidRPr="00A86F84" w:rsidRDefault="00855F77" w:rsidP="00A86F84">
      <w:r>
        <w:t>Where an a</w:t>
      </w:r>
      <w:r w:rsidR="005A621A">
        <w:t xml:space="preserve">ssessment </w:t>
      </w:r>
      <w:r>
        <w:t xml:space="preserve">is </w:t>
      </w:r>
      <w:r w:rsidR="005A621A">
        <w:t xml:space="preserve">not submitted </w:t>
      </w:r>
      <w:r>
        <w:t xml:space="preserve">the Academic responsible for marking </w:t>
      </w:r>
      <w:r w:rsidR="005A621A">
        <w:t xml:space="preserve">should </w:t>
      </w:r>
      <w:r>
        <w:t xml:space="preserve">update the assessment </w:t>
      </w:r>
      <w:r w:rsidR="005A621A">
        <w:t xml:space="preserve">status in Quercus </w:t>
      </w:r>
      <w:r>
        <w:t xml:space="preserve">to </w:t>
      </w:r>
      <w:r w:rsidR="005A621A">
        <w:t xml:space="preserve">“Out of time 0 (zero) marks” and </w:t>
      </w:r>
      <w:r>
        <w:t xml:space="preserve">enter </w:t>
      </w:r>
      <w:r w:rsidR="005A621A">
        <w:t>a gross mark of “0”.</w:t>
      </w:r>
    </w:p>
    <w:p w14:paraId="4C1A1A0F" w14:textId="03AAAC08" w:rsidR="00175196" w:rsidRPr="00175196" w:rsidRDefault="00175196" w:rsidP="00175196">
      <w:pPr>
        <w:pStyle w:val="Heading2"/>
      </w:pPr>
      <w:r>
        <w:t>Exceptional Circumstances</w:t>
      </w:r>
    </w:p>
    <w:p w14:paraId="5C2848E5" w14:textId="0BC44DDF" w:rsidR="00F135F7" w:rsidRDefault="00175196" w:rsidP="00F135F7">
      <w:r>
        <w:t>Where there are exceptional circumstances</w:t>
      </w:r>
      <w:r w:rsidR="00D62D77">
        <w:t>,</w:t>
      </w:r>
      <w:r>
        <w:t xml:space="preserve"> students </w:t>
      </w:r>
      <w:r w:rsidR="002E54F0">
        <w:t xml:space="preserve">can submit a request </w:t>
      </w:r>
      <w:r w:rsidR="00A174E0">
        <w:t>for an extension (coursework only) or a deferral.</w:t>
      </w:r>
    </w:p>
    <w:p w14:paraId="32F6160C" w14:textId="2CF277FB" w:rsidR="00175196" w:rsidRDefault="00175196" w:rsidP="00175196">
      <w:pPr>
        <w:pStyle w:val="Heading3"/>
      </w:pPr>
      <w:r>
        <w:t>Extensions</w:t>
      </w:r>
    </w:p>
    <w:p w14:paraId="6CF19BC4" w14:textId="38C05D63" w:rsidR="00175196" w:rsidRDefault="00A174E0" w:rsidP="00175196">
      <w:r>
        <w:t>Extensions can only be approved for coursework assessments.</w:t>
      </w:r>
    </w:p>
    <w:p w14:paraId="5FAAD4D7" w14:textId="3C6D6C35" w:rsidR="00BE6035" w:rsidRDefault="00A174E0" w:rsidP="00175196">
      <w:r>
        <w:t xml:space="preserve">Where an extension is approved the assessment submission will be extended by 10 working days. The extension does not change the </w:t>
      </w:r>
      <w:r w:rsidR="0098230D">
        <w:t>University’s</w:t>
      </w:r>
      <w:r>
        <w:t xml:space="preserve"> policy regarding late-submission and non-submission (above).</w:t>
      </w:r>
    </w:p>
    <w:p w14:paraId="309DD4D4" w14:textId="76CC9C7A" w:rsidR="00BE6035" w:rsidRDefault="00BE6035" w:rsidP="00175196">
      <w:r>
        <w:t xml:space="preserve">Coursework submitted by an approved extension deadline will be marked as normal and </w:t>
      </w:r>
      <w:r w:rsidR="0056726E">
        <w:t xml:space="preserve">is therefore </w:t>
      </w:r>
      <w:r>
        <w:t>uncapped.</w:t>
      </w:r>
    </w:p>
    <w:p w14:paraId="4296DDA0" w14:textId="39078D88" w:rsidR="00175196" w:rsidRDefault="00175196" w:rsidP="00175196">
      <w:pPr>
        <w:pStyle w:val="Heading3"/>
      </w:pPr>
      <w:r>
        <w:t>Deferrals</w:t>
      </w:r>
    </w:p>
    <w:p w14:paraId="71CD5D51" w14:textId="25893C90" w:rsidR="00175196" w:rsidRDefault="00A174E0" w:rsidP="00175196">
      <w:r>
        <w:lastRenderedPageBreak/>
        <w:t>Deferrals can be approved for any assessment (exams, coursework and practical assessments).</w:t>
      </w:r>
    </w:p>
    <w:p w14:paraId="1CE51A62" w14:textId="48271F18" w:rsidR="006E4284" w:rsidRDefault="006E4284" w:rsidP="00175196">
      <w:r>
        <w:t>Deferrals will be approved for coursework, only where the circumstances are likely to extend beyond 10 working days.</w:t>
      </w:r>
    </w:p>
    <w:p w14:paraId="7058AA83" w14:textId="52F25695" w:rsidR="00A174E0" w:rsidRDefault="00A174E0" w:rsidP="00175196">
      <w:r>
        <w:t xml:space="preserve">Where a deferral is approved the assessment will be delayed until </w:t>
      </w:r>
      <w:r w:rsidR="006E4284">
        <w:t>the relevant deferral deadline, as set in the Academic Calendar.</w:t>
      </w:r>
      <w:r w:rsidR="00BE6035">
        <w:t xml:space="preserve"> </w:t>
      </w:r>
    </w:p>
    <w:p w14:paraId="35F0763C" w14:textId="6788F793" w:rsidR="0056726E" w:rsidRDefault="0056726E" w:rsidP="00175196">
      <w:r>
        <w:t>Deferred assessments will be marked as normal and are therefore uncapped.</w:t>
      </w:r>
    </w:p>
    <w:p w14:paraId="06E04210" w14:textId="111663A4" w:rsidR="00A174E0" w:rsidRDefault="00A174E0" w:rsidP="00A41A57">
      <w:pPr>
        <w:pStyle w:val="Heading3"/>
      </w:pPr>
      <w:r>
        <w:t>Definition of Exceptional Circumstances</w:t>
      </w:r>
    </w:p>
    <w:p w14:paraId="4B36BA35" w14:textId="61A1C3DA" w:rsidR="00A41A57" w:rsidRDefault="00A41A57" w:rsidP="00175196">
      <w:r>
        <w:t>Exceptional circumstances are defined as circumstances which are</w:t>
      </w:r>
      <w:r w:rsidR="0042155B">
        <w:t>;</w:t>
      </w:r>
    </w:p>
    <w:p w14:paraId="1D6CE221" w14:textId="12E776AA" w:rsidR="00A41A57" w:rsidRDefault="00A41A57" w:rsidP="00A41A57">
      <w:pPr>
        <w:pStyle w:val="ListParagraph"/>
        <w:numPr>
          <w:ilvl w:val="0"/>
          <w:numId w:val="29"/>
        </w:numPr>
      </w:pPr>
      <w:r>
        <w:t xml:space="preserve">Unavoidable – the circumstances are beyond </w:t>
      </w:r>
      <w:r w:rsidR="0000796D">
        <w:t xml:space="preserve">the student’s </w:t>
      </w:r>
      <w:r>
        <w:t>control</w:t>
      </w:r>
    </w:p>
    <w:p w14:paraId="643DECC0" w14:textId="77777777" w:rsidR="0000796D" w:rsidRDefault="0000796D" w:rsidP="0000796D">
      <w:pPr>
        <w:pStyle w:val="ListParagraph"/>
        <w:numPr>
          <w:ilvl w:val="0"/>
          <w:numId w:val="29"/>
        </w:numPr>
      </w:pPr>
      <w:r>
        <w:t>Unforeseen – the circumstances arose suddenly and could not have been predicted</w:t>
      </w:r>
    </w:p>
    <w:p w14:paraId="04AA6B59" w14:textId="09E456AF" w:rsidR="00A41A57" w:rsidRDefault="00A41A57" w:rsidP="00A41A57">
      <w:pPr>
        <w:pStyle w:val="ListParagraph"/>
        <w:numPr>
          <w:ilvl w:val="0"/>
          <w:numId w:val="29"/>
        </w:numPr>
      </w:pPr>
      <w:r>
        <w:t xml:space="preserve">Serious – the circumstances </w:t>
      </w:r>
      <w:r w:rsidR="0000796D">
        <w:t>are having</w:t>
      </w:r>
      <w:r>
        <w:t xml:space="preserve"> a significant impact on the </w:t>
      </w:r>
      <w:r w:rsidR="0000796D">
        <w:t xml:space="preserve">student’s </w:t>
      </w:r>
      <w:r>
        <w:t>learning experience</w:t>
      </w:r>
    </w:p>
    <w:p w14:paraId="17DE3B6D" w14:textId="551BF8F1" w:rsidR="0005051E" w:rsidRDefault="0005051E" w:rsidP="0005051E">
      <w:r>
        <w:t xml:space="preserve">Applications for extensions and deferrals will </w:t>
      </w:r>
      <w:r w:rsidR="00BC6BF9">
        <w:t xml:space="preserve">only </w:t>
      </w:r>
      <w:r>
        <w:t xml:space="preserve">be approved where </w:t>
      </w:r>
      <w:r w:rsidR="00BE6035">
        <w:t>it is demonstrated that the circumstances meet all three criteria.</w:t>
      </w:r>
    </w:p>
    <w:p w14:paraId="128A9D4D" w14:textId="01E3592F" w:rsidR="00A41A57" w:rsidRDefault="00A41A57" w:rsidP="00A41A57">
      <w:r>
        <w:t>Examples of exceptional circumstances</w:t>
      </w:r>
      <w:r w:rsidR="00BC6BF9">
        <w:t xml:space="preserve"> may include;</w:t>
      </w:r>
    </w:p>
    <w:p w14:paraId="30AD0416" w14:textId="035BF762" w:rsidR="00A41A57" w:rsidRDefault="00A41A57" w:rsidP="00A41A57">
      <w:pPr>
        <w:pStyle w:val="ListParagraph"/>
        <w:numPr>
          <w:ilvl w:val="0"/>
          <w:numId w:val="31"/>
        </w:numPr>
      </w:pPr>
      <w:r>
        <w:t>Serious short-term illness</w:t>
      </w:r>
      <w:r w:rsidR="0000796D">
        <w:t xml:space="preserve"> or injury</w:t>
      </w:r>
      <w:r>
        <w:t>, usually requiring medical attention from a GP or other doctor</w:t>
      </w:r>
    </w:p>
    <w:p w14:paraId="2992008C" w14:textId="353F389C" w:rsidR="00A41A57" w:rsidRDefault="00A41A57" w:rsidP="00A41A57">
      <w:pPr>
        <w:pStyle w:val="ListParagraph"/>
        <w:numPr>
          <w:ilvl w:val="0"/>
          <w:numId w:val="31"/>
        </w:numPr>
      </w:pPr>
      <w:r>
        <w:t>Temporary, acute worsening of a long-term disability, including mental health condition</w:t>
      </w:r>
    </w:p>
    <w:p w14:paraId="556B8C37" w14:textId="221F4448" w:rsidR="00A41A57" w:rsidRPr="00A41A57" w:rsidRDefault="00A41A57" w:rsidP="00A41A57">
      <w:pPr>
        <w:pStyle w:val="ListParagraph"/>
        <w:numPr>
          <w:ilvl w:val="0"/>
          <w:numId w:val="31"/>
        </w:numPr>
      </w:pPr>
      <w:r>
        <w:t>Death of a close relative</w:t>
      </w:r>
      <w:r w:rsidR="000207B5">
        <w:t>/friend</w:t>
      </w:r>
      <w:r>
        <w:t xml:space="preserve"> </w:t>
      </w:r>
    </w:p>
    <w:p w14:paraId="46DB67E6" w14:textId="495947D6" w:rsidR="00A41A57" w:rsidRDefault="00A41A57" w:rsidP="00A41A57">
      <w:pPr>
        <w:pStyle w:val="ListParagraph"/>
        <w:numPr>
          <w:ilvl w:val="0"/>
          <w:numId w:val="31"/>
        </w:numPr>
      </w:pPr>
      <w:r>
        <w:t>Victim of serious crime</w:t>
      </w:r>
    </w:p>
    <w:p w14:paraId="5E69AE81" w14:textId="4CFD090C" w:rsidR="00A41A57" w:rsidRDefault="00A41A57" w:rsidP="00A41A57">
      <w:pPr>
        <w:pStyle w:val="ListParagraph"/>
        <w:numPr>
          <w:ilvl w:val="0"/>
          <w:numId w:val="31"/>
        </w:numPr>
      </w:pPr>
      <w:r>
        <w:t>Participation in national/international sporting or cultural events</w:t>
      </w:r>
    </w:p>
    <w:p w14:paraId="573BD78E" w14:textId="4D9ACCA0" w:rsidR="00A41A57" w:rsidRDefault="00A41A57" w:rsidP="00A41A57">
      <w:r>
        <w:t>Examples of circumstances which are not considered exceptional</w:t>
      </w:r>
      <w:r w:rsidR="00BC6BF9">
        <w:t xml:space="preserve"> may include;</w:t>
      </w:r>
    </w:p>
    <w:p w14:paraId="4C3ED0FF" w14:textId="70413047" w:rsidR="00A41A57" w:rsidRDefault="00A41A57" w:rsidP="00A41A57">
      <w:pPr>
        <w:pStyle w:val="ListParagraph"/>
        <w:numPr>
          <w:ilvl w:val="0"/>
          <w:numId w:val="30"/>
        </w:numPr>
      </w:pPr>
      <w:r>
        <w:t>Minor illnesses</w:t>
      </w:r>
    </w:p>
    <w:p w14:paraId="56ADD919" w14:textId="090E1751" w:rsidR="00A41A57" w:rsidRDefault="00A41A57" w:rsidP="00A41A57">
      <w:pPr>
        <w:pStyle w:val="ListParagraph"/>
        <w:numPr>
          <w:ilvl w:val="0"/>
          <w:numId w:val="30"/>
        </w:numPr>
      </w:pPr>
      <w:r>
        <w:t>Unawareness of assessment dates and deadlines</w:t>
      </w:r>
    </w:p>
    <w:p w14:paraId="7CA12982" w14:textId="40126A49" w:rsidR="00A41A57" w:rsidRDefault="003E7673" w:rsidP="00A41A57">
      <w:pPr>
        <w:pStyle w:val="ListParagraph"/>
        <w:numPr>
          <w:ilvl w:val="0"/>
          <w:numId w:val="30"/>
        </w:numPr>
      </w:pPr>
      <w:r>
        <w:t>Transport difficulties</w:t>
      </w:r>
    </w:p>
    <w:p w14:paraId="1D8437E8" w14:textId="1FD93E7E" w:rsidR="003E7673" w:rsidRDefault="003E7673" w:rsidP="00A41A57">
      <w:pPr>
        <w:pStyle w:val="ListParagraph"/>
        <w:numPr>
          <w:ilvl w:val="0"/>
          <w:numId w:val="30"/>
        </w:numPr>
      </w:pPr>
      <w:r>
        <w:t>Holidays</w:t>
      </w:r>
    </w:p>
    <w:p w14:paraId="6B602825" w14:textId="0E28BBFF" w:rsidR="00C53241" w:rsidRDefault="00C53241" w:rsidP="00C53241">
      <w:pPr>
        <w:pStyle w:val="Heading3"/>
      </w:pPr>
      <w:r>
        <w:t>Documentary evidence</w:t>
      </w:r>
    </w:p>
    <w:p w14:paraId="17915DD9" w14:textId="5999E5F1" w:rsidR="00C53241" w:rsidRDefault="00BC6BF9" w:rsidP="00C53241">
      <w:r>
        <w:t xml:space="preserve">Applications for extensions and deferrals will only be approved where independent </w:t>
      </w:r>
      <w:r w:rsidR="00C53241">
        <w:t>documentary evidence</w:t>
      </w:r>
      <w:r>
        <w:t xml:space="preserve"> is provided</w:t>
      </w:r>
      <w:r w:rsidR="00C53241">
        <w:t>. The exact type of evidence will vary depending on the circumstances.</w:t>
      </w:r>
    </w:p>
    <w:p w14:paraId="42EE0155" w14:textId="77728BCC" w:rsidR="00C53241" w:rsidRDefault="00C53241" w:rsidP="00C53241">
      <w:r>
        <w:t xml:space="preserve">Examples of acceptable </w:t>
      </w:r>
      <w:r w:rsidR="00275EA2">
        <w:t xml:space="preserve">independent </w:t>
      </w:r>
      <w:r>
        <w:t>documentary evidence</w:t>
      </w:r>
      <w:r w:rsidR="00BC6BF9">
        <w:t xml:space="preserve"> may</w:t>
      </w:r>
      <w:r>
        <w:t xml:space="preserve"> </w:t>
      </w:r>
      <w:r w:rsidR="00BC6BF9">
        <w:t>include</w:t>
      </w:r>
      <w:r>
        <w:t>;</w:t>
      </w:r>
    </w:p>
    <w:p w14:paraId="60D52397" w14:textId="25BD846D" w:rsidR="00C53241" w:rsidRDefault="00C53241" w:rsidP="00C53241">
      <w:pPr>
        <w:pStyle w:val="ListParagraph"/>
        <w:numPr>
          <w:ilvl w:val="0"/>
          <w:numId w:val="33"/>
        </w:numPr>
      </w:pPr>
      <w:r>
        <w:t>A medical certificate authorised by a GMC registered doctor</w:t>
      </w:r>
    </w:p>
    <w:p w14:paraId="728E00F8" w14:textId="2D6C69C4" w:rsidR="00C53241" w:rsidRDefault="00C53241" w:rsidP="00C53241">
      <w:pPr>
        <w:pStyle w:val="ListParagraph"/>
        <w:numPr>
          <w:ilvl w:val="0"/>
          <w:numId w:val="33"/>
        </w:numPr>
      </w:pPr>
      <w:r>
        <w:t>A hospital admission</w:t>
      </w:r>
      <w:r w:rsidR="00BC6BF9">
        <w:t xml:space="preserve"> report or appointment letter</w:t>
      </w:r>
    </w:p>
    <w:p w14:paraId="5AA76C8E" w14:textId="51299994" w:rsidR="00C53241" w:rsidRDefault="00C53241" w:rsidP="00C53241">
      <w:pPr>
        <w:pStyle w:val="ListParagraph"/>
        <w:numPr>
          <w:ilvl w:val="0"/>
          <w:numId w:val="33"/>
        </w:numPr>
      </w:pPr>
      <w:r>
        <w:lastRenderedPageBreak/>
        <w:t>A birth certificate, or death certificate issued by an official Registrar</w:t>
      </w:r>
    </w:p>
    <w:p w14:paraId="43F59C74" w14:textId="3A0973C7" w:rsidR="00C53241" w:rsidRDefault="00C53241" w:rsidP="00C53241">
      <w:pPr>
        <w:pStyle w:val="ListParagraph"/>
        <w:numPr>
          <w:ilvl w:val="0"/>
          <w:numId w:val="33"/>
        </w:numPr>
      </w:pPr>
      <w:r>
        <w:t>A letter from a BACP accredited therapist</w:t>
      </w:r>
    </w:p>
    <w:p w14:paraId="17AB67E5" w14:textId="3EBD1D90" w:rsidR="00C53241" w:rsidRDefault="00BC6BF9" w:rsidP="00C53241">
      <w:pPr>
        <w:pStyle w:val="ListParagraph"/>
        <w:numPr>
          <w:ilvl w:val="0"/>
          <w:numId w:val="33"/>
        </w:numPr>
      </w:pPr>
      <w:r>
        <w:t>A police crime report and incident number</w:t>
      </w:r>
    </w:p>
    <w:p w14:paraId="230BFC39" w14:textId="4BC0EA6C" w:rsidR="00A41A57" w:rsidRDefault="00B87DE1" w:rsidP="00B87DE1">
      <w:pPr>
        <w:pStyle w:val="Heading3"/>
      </w:pPr>
      <w:r>
        <w:t>Process for requesting and approving extensions and deferrals</w:t>
      </w:r>
    </w:p>
    <w:p w14:paraId="71A0A0DE" w14:textId="183C8BCC" w:rsidR="0061181B" w:rsidRDefault="00E94CCE" w:rsidP="0061181B">
      <w:r>
        <w:t xml:space="preserve">Requests for extensions or deferrals must be made </w:t>
      </w:r>
      <w:r w:rsidR="00275EA2">
        <w:t xml:space="preserve">through </w:t>
      </w:r>
      <w:r>
        <w:t>the Student portal</w:t>
      </w:r>
      <w:r w:rsidR="00275EA2">
        <w:t>. Requests must be made by the student and must be submitted</w:t>
      </w:r>
      <w:r w:rsidR="00C53241">
        <w:t xml:space="preserve"> before the assessment deadline. </w:t>
      </w:r>
      <w:r w:rsidR="0061181B">
        <w:t>Requests that are submitted after the assessment deadline will be rejected.</w:t>
      </w:r>
    </w:p>
    <w:p w14:paraId="449670F6" w14:textId="26110AB0" w:rsidR="0056726E" w:rsidRDefault="0056726E" w:rsidP="00B87DE1">
      <w:r>
        <w:t xml:space="preserve">Documentary evidence </w:t>
      </w:r>
      <w:r w:rsidR="00C53241">
        <w:t xml:space="preserve">must </w:t>
      </w:r>
      <w:r>
        <w:t xml:space="preserve">be submitted via email to </w:t>
      </w:r>
      <w:hyperlink r:id="rId14">
        <w:r w:rsidRPr="0773D114">
          <w:rPr>
            <w:rStyle w:val="Hyperlink"/>
          </w:rPr>
          <w:t>extensions@rau.ac.uk</w:t>
        </w:r>
      </w:hyperlink>
      <w:r w:rsidR="00C53241">
        <w:t xml:space="preserve"> </w:t>
      </w:r>
      <w:r>
        <w:t>within 10-working days</w:t>
      </w:r>
      <w:r w:rsidR="4338D419">
        <w:t xml:space="preserve"> of </w:t>
      </w:r>
      <w:r w:rsidR="228B46B2">
        <w:t>submitting the request</w:t>
      </w:r>
      <w:r>
        <w:t>.</w:t>
      </w:r>
      <w:r w:rsidR="0061181B">
        <w:t xml:space="preserve"> Where documentary evidence is not provided within 10-working days the request will be rejected.</w:t>
      </w:r>
    </w:p>
    <w:p w14:paraId="0981229F" w14:textId="076DE285" w:rsidR="0000796D" w:rsidRDefault="00BC6BF9" w:rsidP="00B87DE1">
      <w:r>
        <w:t>Requests will be considered against the criteria</w:t>
      </w:r>
      <w:r w:rsidR="00275EA2">
        <w:t xml:space="preserve"> for exceptional circumstances (above)</w:t>
      </w:r>
      <w:r w:rsidR="00855F77">
        <w:t>. Where there is clear precedent for a request to be accepted or rejected then the decision will be made by an Officer in the Academic Services team. Where there is no clear precedent, or the circumstances of a case are more complex, the case will be reviewed and a judgement will be made by the Director of Academic Services.</w:t>
      </w:r>
    </w:p>
    <w:p w14:paraId="64A9B0C3" w14:textId="56D518DB" w:rsidR="00855F77" w:rsidRPr="00F639A2" w:rsidRDefault="00855F77" w:rsidP="0773D114">
      <w:r>
        <w:t>Where an extension request is approved, Academic Services will update the assessment status in Quercus to “Extension” and add a note on the assessment.</w:t>
      </w:r>
      <w:r w:rsidR="00F639A2">
        <w:t xml:space="preserve"> Academic Services will communicate the outcome to the student and module leader.</w:t>
      </w:r>
    </w:p>
    <w:p w14:paraId="7EAD19FA" w14:textId="4F2FB3D5" w:rsidR="00855F77" w:rsidRPr="00F639A2" w:rsidRDefault="00855F77" w:rsidP="0773D114">
      <w:r>
        <w:t>Where a deferral request is approved, Academic Services will update the assessment status in Quercus to “deferred” and add a note on the assessment.</w:t>
      </w:r>
      <w:r w:rsidR="00F639A2">
        <w:t xml:space="preserve"> Academic Services will communicate the outcome to the student and module leader.</w:t>
      </w:r>
    </w:p>
    <w:p w14:paraId="2BDFE082" w14:textId="0B398B89" w:rsidR="00855F77" w:rsidRDefault="00855F77" w:rsidP="0773D114">
      <w:r>
        <w:t>Where a</w:t>
      </w:r>
      <w:r w:rsidR="00F639A2">
        <w:t>n extension or deferral request is rejected, Academic Services will add a note to the main student record. Academic Services will communicate the outcome to the student and module leader.</w:t>
      </w:r>
    </w:p>
    <w:p w14:paraId="1AE6C098" w14:textId="4D21C440" w:rsidR="163412F2" w:rsidRDefault="163412F2" w:rsidP="0773D114">
      <w:pPr>
        <w:rPr>
          <w:rFonts w:eastAsia="Calibri"/>
        </w:rPr>
      </w:pPr>
      <w:r w:rsidRPr="0773D114">
        <w:rPr>
          <w:rFonts w:eastAsia="Calibri"/>
        </w:rPr>
        <w:t>Where a request for an extension or deferral cannot yet be considered, as the documentary evidence has not yet been submitted, the academic responsible for marking the assessment should mark the assessment</w:t>
      </w:r>
      <w:r w:rsidR="342B6ABC" w:rsidRPr="0773D114">
        <w:rPr>
          <w:rFonts w:eastAsia="Calibri"/>
        </w:rPr>
        <w:t xml:space="preserve"> as normal, under the College’s policy for late-submission or non-submission as appropriate. If an extension or deferral is subsequently approved this will be updated by</w:t>
      </w:r>
      <w:r w:rsidR="262D6E5F" w:rsidRPr="0773D114">
        <w:rPr>
          <w:rFonts w:eastAsia="Calibri"/>
        </w:rPr>
        <w:t xml:space="preserve"> Academic Services.</w:t>
      </w:r>
    </w:p>
    <w:p w14:paraId="21724D06" w14:textId="62E8F1B4" w:rsidR="00275EA2" w:rsidRPr="00F639A2" w:rsidRDefault="00F639A2" w:rsidP="00B87DE1">
      <w:r w:rsidRPr="00F639A2">
        <w:t xml:space="preserve">Decisions made regarding exceptional circumstances are final. </w:t>
      </w:r>
      <w:r w:rsidR="00752167">
        <w:t>This does not affect a student’s ability to submit an academic appeal following publication of their results.</w:t>
      </w:r>
    </w:p>
    <w:sectPr w:rsidR="00275EA2" w:rsidRPr="00F63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D61D" w14:textId="77777777" w:rsidR="00115965" w:rsidRDefault="00115965" w:rsidP="00115965">
      <w:pPr>
        <w:spacing w:after="0" w:line="240" w:lineRule="auto"/>
      </w:pPr>
      <w:r>
        <w:separator/>
      </w:r>
    </w:p>
  </w:endnote>
  <w:endnote w:type="continuationSeparator" w:id="0">
    <w:p w14:paraId="6B7EA5BA" w14:textId="77777777" w:rsidR="00115965" w:rsidRDefault="00115965" w:rsidP="00115965">
      <w:pPr>
        <w:spacing w:after="0" w:line="240" w:lineRule="auto"/>
      </w:pPr>
      <w:r>
        <w:continuationSeparator/>
      </w:r>
    </w:p>
  </w:endnote>
  <w:endnote w:type="continuationNotice" w:id="1">
    <w:p w14:paraId="065C075C" w14:textId="77777777" w:rsidR="004576E6" w:rsidRDefault="00457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7CF8" w14:textId="19204058" w:rsidR="00115965" w:rsidRDefault="00115965" w:rsidP="0011596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NUMPAGES   \* MERGEFORMAT">
      <w:r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D805" w14:textId="77777777" w:rsidR="00115965" w:rsidRDefault="00115965" w:rsidP="00115965">
      <w:pPr>
        <w:spacing w:after="0" w:line="240" w:lineRule="auto"/>
      </w:pPr>
      <w:r>
        <w:separator/>
      </w:r>
    </w:p>
  </w:footnote>
  <w:footnote w:type="continuationSeparator" w:id="0">
    <w:p w14:paraId="4EEDE434" w14:textId="77777777" w:rsidR="00115965" w:rsidRDefault="00115965" w:rsidP="00115965">
      <w:pPr>
        <w:spacing w:after="0" w:line="240" w:lineRule="auto"/>
      </w:pPr>
      <w:r>
        <w:continuationSeparator/>
      </w:r>
    </w:p>
  </w:footnote>
  <w:footnote w:type="continuationNotice" w:id="1">
    <w:p w14:paraId="36B7FFA5" w14:textId="77777777" w:rsidR="004576E6" w:rsidRDefault="00457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73AE" w14:textId="33CAB0A0" w:rsidR="00115965" w:rsidRPr="00115965" w:rsidRDefault="00F135F7" w:rsidP="00604963">
    <w:pPr>
      <w:jc w:val="right"/>
    </w:pPr>
    <w:r>
      <w:t>D –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2223" w14:textId="108BF3D8" w:rsidR="00115965" w:rsidRPr="00115965" w:rsidRDefault="00115965" w:rsidP="00115965">
    <w:pPr>
      <w:pStyle w:val="Title"/>
      <w:rPr>
        <w:sz w:val="160"/>
        <w:szCs w:val="160"/>
      </w:rPr>
    </w:pPr>
    <w:r w:rsidRPr="00871074">
      <w:rPr>
        <w:noProof/>
      </w:rPr>
      <w:drawing>
        <wp:anchor distT="0" distB="0" distL="114300" distR="114300" simplePos="0" relativeHeight="251658240" behindDoc="1" locked="0" layoutInCell="1" allowOverlap="1" wp14:anchorId="75FD1941" wp14:editId="09BED931">
          <wp:simplePos x="0" y="0"/>
          <wp:positionH relativeFrom="column">
            <wp:posOffset>0</wp:posOffset>
          </wp:positionH>
          <wp:positionV relativeFrom="page">
            <wp:posOffset>629920</wp:posOffset>
          </wp:positionV>
          <wp:extent cx="1522730" cy="828675"/>
          <wp:effectExtent l="0" t="0" r="1270" b="9525"/>
          <wp:wrapTight wrapText="bothSides">
            <wp:wrapPolygon edited="0">
              <wp:start x="1892" y="0"/>
              <wp:lineTo x="0" y="3476"/>
              <wp:lineTo x="0" y="20855"/>
              <wp:lineTo x="17565" y="21352"/>
              <wp:lineTo x="19456" y="21352"/>
              <wp:lineTo x="19997" y="16386"/>
              <wp:lineTo x="21348" y="14897"/>
              <wp:lineTo x="21348" y="10924"/>
              <wp:lineTo x="14592" y="7945"/>
              <wp:lineTo x="15133" y="4469"/>
              <wp:lineTo x="13781" y="3476"/>
              <wp:lineTo x="3783" y="0"/>
              <wp:lineTo x="1892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5F7">
      <w:rPr>
        <w:sz w:val="160"/>
        <w:szCs w:val="16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3A1"/>
    <w:multiLevelType w:val="multilevel"/>
    <w:tmpl w:val="360AADF4"/>
    <w:lvl w:ilvl="0">
      <w:start w:val="1"/>
      <w:numFmt w:val="decimal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520"/>
      </w:pPr>
      <w:rPr>
        <w:rFonts w:hint="default"/>
      </w:rPr>
    </w:lvl>
  </w:abstractNum>
  <w:abstractNum w:abstractNumId="1" w15:restartNumberingAfterBreak="0">
    <w:nsid w:val="111D277F"/>
    <w:multiLevelType w:val="hybridMultilevel"/>
    <w:tmpl w:val="BE44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BA"/>
    <w:multiLevelType w:val="hybridMultilevel"/>
    <w:tmpl w:val="F1A04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59B8"/>
    <w:multiLevelType w:val="hybridMultilevel"/>
    <w:tmpl w:val="5498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77AB"/>
    <w:multiLevelType w:val="hybridMultilevel"/>
    <w:tmpl w:val="4D9A6C98"/>
    <w:lvl w:ilvl="0" w:tplc="8BD27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84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6B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C0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6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2D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EC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0D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8C5"/>
    <w:multiLevelType w:val="hybridMultilevel"/>
    <w:tmpl w:val="ED8CD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7BA3"/>
    <w:multiLevelType w:val="hybridMultilevel"/>
    <w:tmpl w:val="037E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47C03"/>
    <w:multiLevelType w:val="hybridMultilevel"/>
    <w:tmpl w:val="AC26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91E7F"/>
    <w:multiLevelType w:val="hybridMultilevel"/>
    <w:tmpl w:val="6398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B"/>
    <w:multiLevelType w:val="hybridMultilevel"/>
    <w:tmpl w:val="D7543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27B0"/>
    <w:multiLevelType w:val="hybridMultilevel"/>
    <w:tmpl w:val="832C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661E"/>
    <w:multiLevelType w:val="multilevel"/>
    <w:tmpl w:val="360AADF4"/>
    <w:lvl w:ilvl="0">
      <w:start w:val="1"/>
      <w:numFmt w:val="decimal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520"/>
      </w:pPr>
      <w:rPr>
        <w:rFonts w:hint="default"/>
      </w:rPr>
    </w:lvl>
  </w:abstractNum>
  <w:abstractNum w:abstractNumId="12" w15:restartNumberingAfterBreak="0">
    <w:nsid w:val="356C27DA"/>
    <w:multiLevelType w:val="multilevel"/>
    <w:tmpl w:val="360AADF4"/>
    <w:lvl w:ilvl="0">
      <w:start w:val="1"/>
      <w:numFmt w:val="decimal"/>
      <w:lvlText w:val="%1.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520"/>
      </w:pPr>
      <w:rPr>
        <w:rFonts w:hint="default"/>
      </w:rPr>
    </w:lvl>
  </w:abstractNum>
  <w:abstractNum w:abstractNumId="13" w15:restartNumberingAfterBreak="0">
    <w:nsid w:val="378362E8"/>
    <w:multiLevelType w:val="hybridMultilevel"/>
    <w:tmpl w:val="56A4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B6D80"/>
    <w:multiLevelType w:val="hybridMultilevel"/>
    <w:tmpl w:val="2AE26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4844"/>
    <w:multiLevelType w:val="hybridMultilevel"/>
    <w:tmpl w:val="5672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7E65"/>
    <w:multiLevelType w:val="hybridMultilevel"/>
    <w:tmpl w:val="6726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77024"/>
    <w:multiLevelType w:val="hybridMultilevel"/>
    <w:tmpl w:val="C03E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350FA"/>
    <w:multiLevelType w:val="hybridMultilevel"/>
    <w:tmpl w:val="BC2A3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871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DA3418"/>
    <w:multiLevelType w:val="hybridMultilevel"/>
    <w:tmpl w:val="50449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36565"/>
    <w:multiLevelType w:val="hybridMultilevel"/>
    <w:tmpl w:val="173CCE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0636C"/>
    <w:multiLevelType w:val="hybridMultilevel"/>
    <w:tmpl w:val="E73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77541"/>
    <w:multiLevelType w:val="hybridMultilevel"/>
    <w:tmpl w:val="326A7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666DF"/>
    <w:multiLevelType w:val="hybridMultilevel"/>
    <w:tmpl w:val="8F26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10DBC"/>
    <w:multiLevelType w:val="hybridMultilevel"/>
    <w:tmpl w:val="0D24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656F0"/>
    <w:multiLevelType w:val="hybridMultilevel"/>
    <w:tmpl w:val="F48C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3EF0"/>
    <w:multiLevelType w:val="hybridMultilevel"/>
    <w:tmpl w:val="70B4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C0AE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abstractNum w:abstractNumId="29" w15:restartNumberingAfterBreak="0">
    <w:nsid w:val="6CB5240A"/>
    <w:multiLevelType w:val="hybridMultilevel"/>
    <w:tmpl w:val="A3AA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37757"/>
    <w:multiLevelType w:val="hybridMultilevel"/>
    <w:tmpl w:val="4192F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E142A"/>
    <w:multiLevelType w:val="hybridMultilevel"/>
    <w:tmpl w:val="6746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D4AA7"/>
    <w:multiLevelType w:val="hybridMultilevel"/>
    <w:tmpl w:val="44D6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D7A9A"/>
    <w:multiLevelType w:val="multilevel"/>
    <w:tmpl w:val="854ADF50"/>
    <w:lvl w:ilvl="0">
      <w:start w:val="4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97" w:hanging="10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89" w:hanging="1080"/>
      </w:pPr>
      <w:rPr>
        <w:rFonts w:hint="default"/>
      </w:rPr>
    </w:lvl>
    <w:lvl w:ilvl="4">
      <w:numFmt w:val="bullet"/>
      <w:lvlText w:val="•"/>
      <w:lvlJc w:val="left"/>
      <w:pPr>
        <w:ind w:left="3834" w:hanging="1080"/>
      </w:pPr>
      <w:rPr>
        <w:rFonts w:hint="default"/>
      </w:rPr>
    </w:lvl>
    <w:lvl w:ilvl="5">
      <w:numFmt w:val="bullet"/>
      <w:lvlText w:val="•"/>
      <w:lvlJc w:val="left"/>
      <w:pPr>
        <w:ind w:left="4679" w:hanging="1080"/>
      </w:pPr>
      <w:rPr>
        <w:rFonts w:hint="default"/>
      </w:rPr>
    </w:lvl>
    <w:lvl w:ilvl="6">
      <w:numFmt w:val="bullet"/>
      <w:lvlText w:val="•"/>
      <w:lvlJc w:val="left"/>
      <w:pPr>
        <w:ind w:left="5524" w:hanging="1080"/>
      </w:pPr>
      <w:rPr>
        <w:rFonts w:hint="default"/>
      </w:rPr>
    </w:lvl>
    <w:lvl w:ilvl="7">
      <w:numFmt w:val="bullet"/>
      <w:lvlText w:val="•"/>
      <w:lvlJc w:val="left"/>
      <w:pPr>
        <w:ind w:left="6369" w:hanging="1080"/>
      </w:pPr>
      <w:rPr>
        <w:rFonts w:hint="default"/>
      </w:rPr>
    </w:lvl>
    <w:lvl w:ilvl="8">
      <w:numFmt w:val="bullet"/>
      <w:lvlText w:val="•"/>
      <w:lvlJc w:val="left"/>
      <w:pPr>
        <w:ind w:left="7214" w:hanging="1080"/>
      </w:pPr>
      <w:rPr>
        <w:rFonts w:hint="default"/>
      </w:rPr>
    </w:lvl>
  </w:abstractNum>
  <w:abstractNum w:abstractNumId="34" w15:restartNumberingAfterBreak="0">
    <w:nsid w:val="76AE500E"/>
    <w:multiLevelType w:val="hybridMultilevel"/>
    <w:tmpl w:val="F480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E4F91"/>
    <w:multiLevelType w:val="hybridMultilevel"/>
    <w:tmpl w:val="7356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619D3"/>
    <w:multiLevelType w:val="hybridMultilevel"/>
    <w:tmpl w:val="D0E6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47B15"/>
    <w:multiLevelType w:val="hybridMultilevel"/>
    <w:tmpl w:val="57DC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28"/>
  </w:num>
  <w:num w:numId="5">
    <w:abstractNumId w:val="19"/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16"/>
  </w:num>
  <w:num w:numId="11">
    <w:abstractNumId w:val="20"/>
  </w:num>
  <w:num w:numId="12">
    <w:abstractNumId w:val="31"/>
  </w:num>
  <w:num w:numId="13">
    <w:abstractNumId w:val="5"/>
  </w:num>
  <w:num w:numId="14">
    <w:abstractNumId w:val="29"/>
  </w:num>
  <w:num w:numId="15">
    <w:abstractNumId w:val="17"/>
  </w:num>
  <w:num w:numId="16">
    <w:abstractNumId w:val="23"/>
  </w:num>
  <w:num w:numId="17">
    <w:abstractNumId w:val="8"/>
  </w:num>
  <w:num w:numId="18">
    <w:abstractNumId w:val="9"/>
  </w:num>
  <w:num w:numId="19">
    <w:abstractNumId w:val="37"/>
  </w:num>
  <w:num w:numId="20">
    <w:abstractNumId w:val="22"/>
  </w:num>
  <w:num w:numId="21">
    <w:abstractNumId w:val="10"/>
  </w:num>
  <w:num w:numId="22">
    <w:abstractNumId w:val="32"/>
  </w:num>
  <w:num w:numId="23">
    <w:abstractNumId w:val="1"/>
  </w:num>
  <w:num w:numId="24">
    <w:abstractNumId w:val="35"/>
  </w:num>
  <w:num w:numId="25">
    <w:abstractNumId w:val="33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  <w:num w:numId="29">
    <w:abstractNumId w:val="14"/>
  </w:num>
  <w:num w:numId="30">
    <w:abstractNumId w:val="7"/>
  </w:num>
  <w:num w:numId="31">
    <w:abstractNumId w:val="6"/>
  </w:num>
  <w:num w:numId="32">
    <w:abstractNumId w:val="26"/>
  </w:num>
  <w:num w:numId="33">
    <w:abstractNumId w:val="27"/>
  </w:num>
  <w:num w:numId="34">
    <w:abstractNumId w:val="18"/>
  </w:num>
  <w:num w:numId="35">
    <w:abstractNumId w:val="12"/>
  </w:num>
  <w:num w:numId="36">
    <w:abstractNumId w:val="34"/>
  </w:num>
  <w:num w:numId="37">
    <w:abstractNumId w:val="30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6625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9A"/>
    <w:rsid w:val="0000381C"/>
    <w:rsid w:val="00007251"/>
    <w:rsid w:val="0000796D"/>
    <w:rsid w:val="000207B5"/>
    <w:rsid w:val="00025247"/>
    <w:rsid w:val="0005051E"/>
    <w:rsid w:val="00067F26"/>
    <w:rsid w:val="000701BA"/>
    <w:rsid w:val="000749CD"/>
    <w:rsid w:val="00076397"/>
    <w:rsid w:val="000A07A9"/>
    <w:rsid w:val="000A1043"/>
    <w:rsid w:val="000B1E00"/>
    <w:rsid w:val="000D203F"/>
    <w:rsid w:val="000E7828"/>
    <w:rsid w:val="00100EB9"/>
    <w:rsid w:val="00111137"/>
    <w:rsid w:val="00115965"/>
    <w:rsid w:val="00136D2F"/>
    <w:rsid w:val="00151EF9"/>
    <w:rsid w:val="00175196"/>
    <w:rsid w:val="001D0CB5"/>
    <w:rsid w:val="001E36A5"/>
    <w:rsid w:val="00275EA2"/>
    <w:rsid w:val="00285DE4"/>
    <w:rsid w:val="002B3CA1"/>
    <w:rsid w:val="002E4A58"/>
    <w:rsid w:val="002E54F0"/>
    <w:rsid w:val="002E5DF4"/>
    <w:rsid w:val="003210DE"/>
    <w:rsid w:val="003271C7"/>
    <w:rsid w:val="003977EC"/>
    <w:rsid w:val="003A6F65"/>
    <w:rsid w:val="003E3EE6"/>
    <w:rsid w:val="003E7673"/>
    <w:rsid w:val="0042155B"/>
    <w:rsid w:val="004215C6"/>
    <w:rsid w:val="0044207E"/>
    <w:rsid w:val="00445452"/>
    <w:rsid w:val="00455B1C"/>
    <w:rsid w:val="004576E6"/>
    <w:rsid w:val="004617E7"/>
    <w:rsid w:val="00486BC0"/>
    <w:rsid w:val="004B5A66"/>
    <w:rsid w:val="004D5464"/>
    <w:rsid w:val="0051663C"/>
    <w:rsid w:val="0052080A"/>
    <w:rsid w:val="005569C5"/>
    <w:rsid w:val="005642E0"/>
    <w:rsid w:val="0056726E"/>
    <w:rsid w:val="005A621A"/>
    <w:rsid w:val="005A624D"/>
    <w:rsid w:val="005C6A68"/>
    <w:rsid w:val="005E1BBB"/>
    <w:rsid w:val="00604963"/>
    <w:rsid w:val="00605DB9"/>
    <w:rsid w:val="0061181B"/>
    <w:rsid w:val="00614572"/>
    <w:rsid w:val="00616D44"/>
    <w:rsid w:val="006254B0"/>
    <w:rsid w:val="00646245"/>
    <w:rsid w:val="00674C17"/>
    <w:rsid w:val="006E4284"/>
    <w:rsid w:val="006F74BF"/>
    <w:rsid w:val="00727BC3"/>
    <w:rsid w:val="00736819"/>
    <w:rsid w:val="00752167"/>
    <w:rsid w:val="0076382E"/>
    <w:rsid w:val="00795FF8"/>
    <w:rsid w:val="007B4DFD"/>
    <w:rsid w:val="007C1522"/>
    <w:rsid w:val="007C695E"/>
    <w:rsid w:val="008167E8"/>
    <w:rsid w:val="0082239A"/>
    <w:rsid w:val="00824402"/>
    <w:rsid w:val="0082580A"/>
    <w:rsid w:val="008317D5"/>
    <w:rsid w:val="00855F77"/>
    <w:rsid w:val="0086167A"/>
    <w:rsid w:val="00873998"/>
    <w:rsid w:val="008A7E4D"/>
    <w:rsid w:val="00902BF7"/>
    <w:rsid w:val="00925D3C"/>
    <w:rsid w:val="00940337"/>
    <w:rsid w:val="00940F3F"/>
    <w:rsid w:val="00946C6C"/>
    <w:rsid w:val="0098230D"/>
    <w:rsid w:val="00992579"/>
    <w:rsid w:val="00995644"/>
    <w:rsid w:val="009A5E46"/>
    <w:rsid w:val="009C6078"/>
    <w:rsid w:val="009E4F32"/>
    <w:rsid w:val="009E7496"/>
    <w:rsid w:val="009F68D6"/>
    <w:rsid w:val="00A174E0"/>
    <w:rsid w:val="00A17FC2"/>
    <w:rsid w:val="00A41A57"/>
    <w:rsid w:val="00A42762"/>
    <w:rsid w:val="00A436E9"/>
    <w:rsid w:val="00A86F84"/>
    <w:rsid w:val="00A9059B"/>
    <w:rsid w:val="00AB2C3A"/>
    <w:rsid w:val="00AC5906"/>
    <w:rsid w:val="00AD26C1"/>
    <w:rsid w:val="00AF3FD2"/>
    <w:rsid w:val="00B01599"/>
    <w:rsid w:val="00B22F97"/>
    <w:rsid w:val="00B50CA6"/>
    <w:rsid w:val="00B843FD"/>
    <w:rsid w:val="00B862BE"/>
    <w:rsid w:val="00B87DE1"/>
    <w:rsid w:val="00BC6BF9"/>
    <w:rsid w:val="00BE2333"/>
    <w:rsid w:val="00BE6035"/>
    <w:rsid w:val="00C17AC0"/>
    <w:rsid w:val="00C17F5E"/>
    <w:rsid w:val="00C30E75"/>
    <w:rsid w:val="00C42B25"/>
    <w:rsid w:val="00C441AB"/>
    <w:rsid w:val="00C53241"/>
    <w:rsid w:val="00C60324"/>
    <w:rsid w:val="00C97D29"/>
    <w:rsid w:val="00CA0236"/>
    <w:rsid w:val="00CB6E76"/>
    <w:rsid w:val="00CC3E0F"/>
    <w:rsid w:val="00CC3FFA"/>
    <w:rsid w:val="00CC6A74"/>
    <w:rsid w:val="00D01424"/>
    <w:rsid w:val="00D13BF6"/>
    <w:rsid w:val="00D220E3"/>
    <w:rsid w:val="00D24C21"/>
    <w:rsid w:val="00D40190"/>
    <w:rsid w:val="00D555FE"/>
    <w:rsid w:val="00D62D77"/>
    <w:rsid w:val="00D67118"/>
    <w:rsid w:val="00D7162F"/>
    <w:rsid w:val="00DD5221"/>
    <w:rsid w:val="00E44B0B"/>
    <w:rsid w:val="00E63482"/>
    <w:rsid w:val="00E75519"/>
    <w:rsid w:val="00E94CCE"/>
    <w:rsid w:val="00EB29CD"/>
    <w:rsid w:val="00EC497F"/>
    <w:rsid w:val="00EF39AA"/>
    <w:rsid w:val="00F04898"/>
    <w:rsid w:val="00F135F7"/>
    <w:rsid w:val="00F16DFC"/>
    <w:rsid w:val="00F2341F"/>
    <w:rsid w:val="00F61F17"/>
    <w:rsid w:val="00F62376"/>
    <w:rsid w:val="00F639A2"/>
    <w:rsid w:val="0773D114"/>
    <w:rsid w:val="08387FAD"/>
    <w:rsid w:val="0CA533AE"/>
    <w:rsid w:val="0E3093AB"/>
    <w:rsid w:val="1307E44D"/>
    <w:rsid w:val="145A41A2"/>
    <w:rsid w:val="14EA5AC9"/>
    <w:rsid w:val="151EF03B"/>
    <w:rsid w:val="163412F2"/>
    <w:rsid w:val="16BAC09C"/>
    <w:rsid w:val="171BC9AB"/>
    <w:rsid w:val="17A69609"/>
    <w:rsid w:val="192DB2C5"/>
    <w:rsid w:val="1C22BF9E"/>
    <w:rsid w:val="1E165FF4"/>
    <w:rsid w:val="2033C6E0"/>
    <w:rsid w:val="2061A2E2"/>
    <w:rsid w:val="211F9C4D"/>
    <w:rsid w:val="228B46B2"/>
    <w:rsid w:val="23013FBA"/>
    <w:rsid w:val="239943A4"/>
    <w:rsid w:val="262D6E5F"/>
    <w:rsid w:val="2FE770C9"/>
    <w:rsid w:val="3031F663"/>
    <w:rsid w:val="31526142"/>
    <w:rsid w:val="32EE31A3"/>
    <w:rsid w:val="342B6ABC"/>
    <w:rsid w:val="34397811"/>
    <w:rsid w:val="3439A3D6"/>
    <w:rsid w:val="348A0204"/>
    <w:rsid w:val="36A137E7"/>
    <w:rsid w:val="3765D27B"/>
    <w:rsid w:val="38AE009A"/>
    <w:rsid w:val="3BB73CF3"/>
    <w:rsid w:val="3EAC49CC"/>
    <w:rsid w:val="4338D419"/>
    <w:rsid w:val="46BF4937"/>
    <w:rsid w:val="489DAD81"/>
    <w:rsid w:val="4A7F116F"/>
    <w:rsid w:val="4BD54E43"/>
    <w:rsid w:val="4D57F647"/>
    <w:rsid w:val="4E51DAE6"/>
    <w:rsid w:val="50662B7D"/>
    <w:rsid w:val="53E06028"/>
    <w:rsid w:val="5563082C"/>
    <w:rsid w:val="60E5A01A"/>
    <w:rsid w:val="662A5B00"/>
    <w:rsid w:val="67C62B61"/>
    <w:rsid w:val="67EF96ED"/>
    <w:rsid w:val="683723B3"/>
    <w:rsid w:val="698B674E"/>
    <w:rsid w:val="6AFDCC23"/>
    <w:rsid w:val="6C1E3702"/>
    <w:rsid w:val="6FD13D46"/>
    <w:rsid w:val="6FE645D4"/>
    <w:rsid w:val="7410208A"/>
    <w:rsid w:val="746B7D4F"/>
    <w:rsid w:val="7A52BA22"/>
    <w:rsid w:val="7C1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"/>
    </o:shapedefaults>
    <o:shapelayout v:ext="edit">
      <o:idmap v:ext="edit" data="1"/>
    </o:shapelayout>
  </w:shapeDefaults>
  <w:decimalSymbol w:val="."/>
  <w:listSeparator w:val=","/>
  <w14:docId w14:val="6DD427E2"/>
  <w15:chartTrackingRefBased/>
  <w15:docId w15:val="{3E7D017E-493A-4D05-8EA3-D95FCB3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C21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C21"/>
    <w:pPr>
      <w:outlineLvl w:val="0"/>
    </w:pPr>
    <w:rPr>
      <w:b/>
      <w:color w:val="8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C21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C21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C6A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A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A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A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A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C21"/>
    <w:rPr>
      <w:rFonts w:ascii="Tahoma" w:hAnsi="Tahoma" w:cs="Tahoma"/>
      <w:b/>
      <w:color w:val="8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82239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4C21"/>
    <w:pPr>
      <w:jc w:val="right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24C21"/>
    <w:rPr>
      <w:rFonts w:ascii="Tahoma" w:hAnsi="Tahoma" w:cs="Tahoma"/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24C21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4C21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965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965"/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0A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3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A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A7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A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A7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A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A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7F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F0489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898"/>
    <w:pPr>
      <w:spacing w:before="360" w:after="0"/>
    </w:pPr>
    <w:rPr>
      <w:rFonts w:asciiTheme="majorHAnsi" w:hAnsiTheme="majorHAnsi" w:cstheme="majorHAnsi"/>
      <w:b/>
      <w:bCs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F04898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898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898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898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898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898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898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04898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xtensions@rau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23C71D748A64F990F0136F9609742" ma:contentTypeVersion="12" ma:contentTypeDescription="Create a new document." ma:contentTypeScope="" ma:versionID="e4ff3b7b6ffc95e3fffd79635e929417">
  <xsd:schema xmlns:xsd="http://www.w3.org/2001/XMLSchema" xmlns:xs="http://www.w3.org/2001/XMLSchema" xmlns:p="http://schemas.microsoft.com/office/2006/metadata/properties" xmlns:ns3="2b667af1-55bf-4dac-9925-8a6ad5223d19" xmlns:ns4="ac664174-f25b-4234-b3be-d0f3689b03c1" targetNamespace="http://schemas.microsoft.com/office/2006/metadata/properties" ma:root="true" ma:fieldsID="158a94703a16d4ba35f23b059a540604" ns3:_="" ns4:_="">
    <xsd:import namespace="2b667af1-55bf-4dac-9925-8a6ad5223d19"/>
    <xsd:import namespace="ac664174-f25b-4234-b3be-d0f3689b0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67af1-55bf-4dac-9925-8a6ad5223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4174-f25b-4234-b3be-d0f3689b0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A12A-6221-46A3-A316-D59278370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75DB3-2914-4DA7-AA24-13C12EDA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67af1-55bf-4dac-9925-8a6ad5223d19"/>
    <ds:schemaRef ds:uri="ac664174-f25b-4234-b3be-d0f3689b0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70352-E77D-4D68-A16B-3ED8954AF524}">
  <ds:schemaRefs>
    <ds:schemaRef ds:uri="http://schemas.microsoft.com/office/2006/metadata/properties"/>
    <ds:schemaRef ds:uri="2b667af1-55bf-4dac-9925-8a6ad5223d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c664174-f25b-4234-b3be-d0f3689b03c1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E2078D-AFBE-477F-A7C6-E7F4E53C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2328</Words>
  <Characters>13270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Todhunter</dc:creator>
  <cp:keywords/>
  <dc:description/>
  <cp:lastModifiedBy>Kate Perris</cp:lastModifiedBy>
  <cp:revision>2</cp:revision>
  <cp:lastPrinted>2022-05-12T05:58:00Z</cp:lastPrinted>
  <dcterms:created xsi:type="dcterms:W3CDTF">2022-05-24T11:21:00Z</dcterms:created>
  <dcterms:modified xsi:type="dcterms:W3CDTF">2022-05-24T11:21:00Z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0x010100E8323C71D748A64F990F0136F9609742</vt:lpwstr>
  </property>
</Properties>
</file>