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9D" w:rsidRDefault="0068340A" w:rsidP="00480EF7">
      <w:pPr>
        <w:jc w:val="right"/>
      </w:pPr>
    </w:p>
    <w:p w:rsidR="00480EF7" w:rsidRPr="007D7F3A" w:rsidRDefault="00480EF7" w:rsidP="00480EF7">
      <w:pPr>
        <w:rPr>
          <w:b/>
          <w:sz w:val="28"/>
        </w:rPr>
      </w:pPr>
      <w:r w:rsidRPr="007D7F3A">
        <w:rPr>
          <w:b/>
          <w:sz w:val="28"/>
        </w:rPr>
        <w:t>External Validation Review – Summary Report</w:t>
      </w:r>
    </w:p>
    <w:p w:rsidR="007D7F3A" w:rsidRPr="007D7F3A" w:rsidRDefault="007D7F3A" w:rsidP="00480EF7">
      <w:pPr>
        <w:rPr>
          <w:b/>
          <w:color w:val="C0504D" w:themeColor="accent2"/>
          <w:sz w:val="24"/>
          <w:u w:val="single"/>
        </w:rPr>
      </w:pP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  <w:r w:rsidRPr="007D7F3A">
        <w:rPr>
          <w:b/>
          <w:color w:val="C0504D" w:themeColor="accent2"/>
          <w:sz w:val="24"/>
          <w:u w:val="single"/>
        </w:rPr>
        <w:tab/>
      </w:r>
    </w:p>
    <w:p w:rsidR="00480EF7" w:rsidRDefault="00480EF7" w:rsidP="00480EF7">
      <w:r w:rsidRPr="008A4A20">
        <w:rPr>
          <w:b/>
        </w:rPr>
        <w:t>Overall Decision</w:t>
      </w:r>
      <w:r>
        <w:t xml:space="preserve"> [Delete as appropriate]</w:t>
      </w:r>
      <w:r w:rsidR="008A4A20">
        <w:t>.</w:t>
      </w:r>
    </w:p>
    <w:p w:rsidR="008A4A20" w:rsidRDefault="008A4A20" w:rsidP="008A4A20">
      <w:pPr>
        <w:pStyle w:val="ListParagraph"/>
        <w:numPr>
          <w:ilvl w:val="0"/>
          <w:numId w:val="1"/>
        </w:numPr>
      </w:pPr>
      <w:r w:rsidRPr="004F5F3C">
        <w:rPr>
          <w:rStyle w:val="Heading4Char"/>
        </w:rPr>
        <w:t>Recommendation for Validation</w:t>
      </w:r>
      <w:r>
        <w:t xml:space="preserve">, with or without conditions and/or recommendations, and/ or corrections (this is usually for a fixed period of between 3 and 6 years) </w:t>
      </w:r>
    </w:p>
    <w:p w:rsidR="008A4A20" w:rsidRDefault="008A4A20" w:rsidP="008A4A20">
      <w:pPr>
        <w:pStyle w:val="ListParagraph"/>
        <w:numPr>
          <w:ilvl w:val="0"/>
          <w:numId w:val="1"/>
        </w:numPr>
      </w:pPr>
      <w:r w:rsidRPr="004F5F3C">
        <w:rPr>
          <w:rStyle w:val="Heading4Char"/>
        </w:rPr>
        <w:t>Revise and resubmit</w:t>
      </w:r>
      <w:r>
        <w:t xml:space="preserve"> – an invitation is given to resubmit the programme before the panel</w:t>
      </w:r>
    </w:p>
    <w:p w:rsidR="008A4A20" w:rsidRDefault="008A4A20" w:rsidP="00480EF7">
      <w:pPr>
        <w:pStyle w:val="ListParagraph"/>
        <w:numPr>
          <w:ilvl w:val="0"/>
          <w:numId w:val="1"/>
        </w:numPr>
      </w:pPr>
      <w:r w:rsidRPr="004F5F3C">
        <w:rPr>
          <w:rStyle w:val="Heading4Char"/>
        </w:rPr>
        <w:t>Not approved</w:t>
      </w:r>
      <w:r>
        <w:t xml:space="preserve"> – recommendation that the proposal be withdrawn</w:t>
      </w:r>
    </w:p>
    <w:p w:rsidR="008A4A20" w:rsidRDefault="008A4A20" w:rsidP="008A4A20">
      <w:r w:rsidRPr="008A4A20">
        <w:rPr>
          <w:b/>
        </w:rPr>
        <w:t>Conditions</w:t>
      </w:r>
      <w:r>
        <w:t>: (these must be met prior to AQSC approval)</w:t>
      </w:r>
    </w:p>
    <w:p w:rsidR="008A4A20" w:rsidRDefault="008A4A20" w:rsidP="008A4A20"/>
    <w:p w:rsidR="008A4A20" w:rsidRDefault="008A4A20" w:rsidP="008A4A20">
      <w:r w:rsidRPr="008A4A20">
        <w:rPr>
          <w:b/>
        </w:rPr>
        <w:t>Recommendations:</w:t>
      </w:r>
      <w:r>
        <w:t xml:space="preserve"> (These must be referred to and reviewed in the first annual programme managers report)</w:t>
      </w:r>
    </w:p>
    <w:p w:rsidR="008A4A20" w:rsidRDefault="008A4A20" w:rsidP="008A4A20"/>
    <w:p w:rsidR="008A4A20" w:rsidRDefault="008A4A20" w:rsidP="008A4A20">
      <w:pPr>
        <w:rPr>
          <w:b/>
        </w:rPr>
      </w:pPr>
      <w:r w:rsidRPr="008A4A20">
        <w:rPr>
          <w:b/>
        </w:rPr>
        <w:t>Good Practice:</w:t>
      </w:r>
    </w:p>
    <w:p w:rsidR="008A4A20" w:rsidRPr="008A4A20" w:rsidRDefault="008A4A20" w:rsidP="008A4A20">
      <w:pPr>
        <w:rPr>
          <w:b/>
        </w:rPr>
      </w:pPr>
    </w:p>
    <w:p w:rsidR="008A4A20" w:rsidRPr="008A4A20" w:rsidRDefault="008A4A20" w:rsidP="008A4A20">
      <w:pPr>
        <w:rPr>
          <w:b/>
        </w:rPr>
      </w:pPr>
      <w:r>
        <w:rPr>
          <w:b/>
        </w:rPr>
        <w:t xml:space="preserve">Feedback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13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480EF7" w:rsidTr="0068340A">
        <w:trPr>
          <w:cantSplit/>
          <w:trHeight w:val="310"/>
          <w:tblHeader/>
        </w:trPr>
        <w:tc>
          <w:tcPr>
            <w:tcW w:w="3652" w:type="dxa"/>
          </w:tcPr>
          <w:p w:rsidR="00480EF7" w:rsidRPr="008A4A20" w:rsidRDefault="00480EF7" w:rsidP="00480EF7">
            <w:pPr>
              <w:rPr>
                <w:b/>
              </w:rPr>
            </w:pPr>
            <w:r w:rsidRPr="008A4A20">
              <w:rPr>
                <w:b/>
              </w:rPr>
              <w:t>Criteria</w:t>
            </w:r>
          </w:p>
        </w:tc>
        <w:tc>
          <w:tcPr>
            <w:tcW w:w="6095" w:type="dxa"/>
          </w:tcPr>
          <w:p w:rsidR="00480EF7" w:rsidRPr="008A4A20" w:rsidRDefault="00480EF7" w:rsidP="00480EF7">
            <w:pPr>
              <w:rPr>
                <w:b/>
              </w:rPr>
            </w:pPr>
            <w:r w:rsidRPr="008A4A20">
              <w:rPr>
                <w:b/>
              </w:rPr>
              <w:t>Comments by the panel</w:t>
            </w:r>
          </w:p>
        </w:tc>
      </w:tr>
      <w:tr w:rsidR="00480EF7" w:rsidTr="0068340A">
        <w:trPr>
          <w:cantSplit/>
          <w:trHeight w:val="310"/>
          <w:tblHeader/>
        </w:trPr>
        <w:tc>
          <w:tcPr>
            <w:tcW w:w="3652" w:type="dxa"/>
          </w:tcPr>
          <w:p w:rsidR="00480EF7" w:rsidRDefault="00480EF7" w:rsidP="00480EF7">
            <w:r>
              <w:t>1.</w:t>
            </w:r>
            <w:r w:rsidRPr="00480EF7">
              <w:t xml:space="preserve"> Are the characteristics of the programme clearly defined?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2. </w:t>
            </w:r>
            <w:r w:rsidRPr="00480EF7">
              <w:t>Is the propo</w:t>
            </w:r>
            <w:r>
              <w:t>sal in line with the University</w:t>
            </w:r>
            <w:r w:rsidRPr="00480EF7">
              <w:t>’s</w:t>
            </w:r>
            <w:r>
              <w:t>’</w:t>
            </w:r>
            <w:r w:rsidRPr="00480EF7">
              <w:t xml:space="preserve"> learning and teaching strategy?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10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3. </w:t>
            </w:r>
            <w:r w:rsidRPr="00480EF7">
              <w:t>Will the programme provide a good learning experience for the likely student intake?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10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4. </w:t>
            </w:r>
            <w:r w:rsidRPr="00480EF7">
              <w:t>Will the curriculum prepare students for the opportunities potentially available on completion of this programme?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10"/>
          <w:tblHeader/>
        </w:trPr>
        <w:tc>
          <w:tcPr>
            <w:tcW w:w="3652" w:type="dxa"/>
          </w:tcPr>
          <w:p w:rsidR="00480EF7" w:rsidRDefault="00480EF7" w:rsidP="00480EF7">
            <w:r>
              <w:lastRenderedPageBreak/>
              <w:t xml:space="preserve">5. </w:t>
            </w:r>
            <w:r w:rsidRPr="00480EF7">
              <w:t>Is the programme designed to ensure that the overall experience of a student has logic and an intellectual integrity that are related to clearly defined purposes?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6. </w:t>
            </w:r>
            <w:r>
              <w:t xml:space="preserve">Is the intellectual challenge and value of the programme defined at the correct level and with reference to the Framework for Higher </w:t>
            </w:r>
            <w:r>
              <w:t>Education Qualification (FHEQ)?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7. </w:t>
            </w:r>
            <w:r>
              <w:t>Has the programme team taken into account, as appropriate , of external reference points, including any relevant QAA Benchmark Statements, FHEQ and the Higher Education Credit Framework for England and the requir</w:t>
            </w:r>
            <w:r>
              <w:t>ements of PSRB’s and employers?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8. </w:t>
            </w:r>
            <w:r>
              <w:t>Does the curriculum impose an increasing level of demand on the learner duri</w:t>
            </w:r>
            <w:r>
              <w:t>ng the course if the programme?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9. </w:t>
            </w:r>
            <w:r>
              <w:t>Is the programme balanced, for example in relation to academic and practical elements, personal development and academic outcomes, bread</w:t>
            </w:r>
            <w:r>
              <w:t>th and depth in the curriculum?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10. </w:t>
            </w:r>
            <w:r>
              <w:t>Does the award title reflect the intended lear</w:t>
            </w:r>
            <w:r>
              <w:t>ning outcomes of the programme?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>11.</w:t>
            </w:r>
            <w:r>
              <w:t xml:space="preserve"> </w:t>
            </w:r>
            <w:r>
              <w:t xml:space="preserve">Is it </w:t>
            </w:r>
            <w:proofErr w:type="gramStart"/>
            <w:r>
              <w:t>clear</w:t>
            </w:r>
            <w:proofErr w:type="gramEnd"/>
            <w:r>
              <w:t xml:space="preserve"> how the intended learning outcomes of the programme will be promo</w:t>
            </w:r>
            <w:r>
              <w:t>ted, demonstrated and assessed?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12. </w:t>
            </w:r>
            <w:r>
              <w:t>What has the team done to design and implement e-</w:t>
            </w:r>
            <w:r>
              <w:t xml:space="preserve"> learning into the </w:t>
            </w:r>
            <w:proofErr w:type="gramStart"/>
            <w:r>
              <w:t>curriculum ?</w:t>
            </w:r>
            <w:proofErr w:type="gramEnd"/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13. </w:t>
            </w:r>
            <w:r>
              <w:t xml:space="preserve">Are the identified resources necessary to support the programme and </w:t>
            </w:r>
            <w:r>
              <w:t>are they in place or committed?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14. </w:t>
            </w:r>
            <w:r>
              <w:t xml:space="preserve">Is the programme designed so that students are treated equally, regardless of gender, age, ethnicity, disability, </w:t>
            </w:r>
            <w:r>
              <w:t>sexual orientation or religion?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lastRenderedPageBreak/>
              <w:t xml:space="preserve">15. </w:t>
            </w:r>
            <w:r>
              <w:t xml:space="preserve">Do </w:t>
            </w:r>
            <w:proofErr w:type="gramStart"/>
            <w:r>
              <w:t>programme learning</w:t>
            </w:r>
            <w:proofErr w:type="gramEnd"/>
            <w:r>
              <w:t xml:space="preserve"> outcomes feature employability and career</w:t>
            </w:r>
            <w:r>
              <w:t xml:space="preserve"> management skills development?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16. </w:t>
            </w:r>
            <w:r>
              <w:t xml:space="preserve">Do </w:t>
            </w:r>
            <w:proofErr w:type="gramStart"/>
            <w:r>
              <w:t>placement learning</w:t>
            </w:r>
            <w:proofErr w:type="gramEnd"/>
            <w:r>
              <w:t xml:space="preserve"> outcomes contribute to the overall coherence and integrity of th</w:t>
            </w:r>
            <w:r>
              <w:t>e programmes, where applicable?</w:t>
            </w:r>
          </w:p>
        </w:tc>
        <w:tc>
          <w:tcPr>
            <w:tcW w:w="6095" w:type="dxa"/>
          </w:tcPr>
          <w:p w:rsidR="00480EF7" w:rsidRDefault="00480EF7" w:rsidP="00480EF7"/>
        </w:tc>
      </w:tr>
      <w:tr w:rsidR="00480EF7" w:rsidTr="0068340A">
        <w:trPr>
          <w:cantSplit/>
          <w:trHeight w:val="324"/>
          <w:tblHeader/>
        </w:trPr>
        <w:tc>
          <w:tcPr>
            <w:tcW w:w="3652" w:type="dxa"/>
          </w:tcPr>
          <w:p w:rsidR="00480EF7" w:rsidRDefault="00480EF7" w:rsidP="00480EF7">
            <w:r>
              <w:t xml:space="preserve">17. </w:t>
            </w:r>
            <w:r>
              <w:t>How does the programme support the development of sustainability literate graduates?</w:t>
            </w:r>
          </w:p>
        </w:tc>
        <w:tc>
          <w:tcPr>
            <w:tcW w:w="6095" w:type="dxa"/>
          </w:tcPr>
          <w:p w:rsidR="00480EF7" w:rsidRDefault="00480EF7" w:rsidP="00480EF7"/>
        </w:tc>
      </w:tr>
    </w:tbl>
    <w:p w:rsidR="00480EF7" w:rsidRDefault="00480EF7" w:rsidP="00480EF7">
      <w:pPr>
        <w:jc w:val="right"/>
      </w:pPr>
    </w:p>
    <w:p w:rsidR="00480EF7" w:rsidRPr="008A4A20" w:rsidRDefault="008A4A20" w:rsidP="00480EF7">
      <w:pPr>
        <w:rPr>
          <w:b/>
          <w:sz w:val="24"/>
        </w:rPr>
      </w:pPr>
      <w:r w:rsidRPr="008A4A20">
        <w:rPr>
          <w:b/>
          <w:sz w:val="24"/>
        </w:rPr>
        <w:t>Sign off</w:t>
      </w:r>
      <w:r w:rsidR="007D7F3A">
        <w:rPr>
          <w:b/>
          <w:sz w:val="24"/>
        </w:rPr>
        <w:t xml:space="preserve"> by the panel</w:t>
      </w:r>
    </w:p>
    <w:p w:rsidR="008A4A20" w:rsidRDefault="008A4A20" w:rsidP="00480EF7">
      <w:pPr>
        <w:rPr>
          <w:b/>
        </w:rPr>
      </w:pPr>
    </w:p>
    <w:p w:rsidR="00480EF7" w:rsidRPr="008A4A20" w:rsidRDefault="008A4A20" w:rsidP="00480EF7">
      <w:pPr>
        <w:rPr>
          <w:b/>
        </w:rPr>
      </w:pPr>
      <w:r w:rsidRPr="008A4A20">
        <w:rPr>
          <w:b/>
        </w:rPr>
        <w:t>Panel Chair</w:t>
      </w:r>
    </w:p>
    <w:p w:rsidR="008A4A20" w:rsidRDefault="008A4A20" w:rsidP="00480EF7"/>
    <w:p w:rsidR="008A4A20" w:rsidRPr="008A4A20" w:rsidRDefault="008A4A20" w:rsidP="00480EF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8A4A20" w:rsidRDefault="008A4A20" w:rsidP="00480EF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A4A20" w:rsidRDefault="008A4A20" w:rsidP="00480EF7"/>
    <w:p w:rsidR="00480EF7" w:rsidRPr="008A4A20" w:rsidRDefault="008A4A20" w:rsidP="00480EF7">
      <w:pPr>
        <w:rPr>
          <w:b/>
        </w:rPr>
      </w:pPr>
      <w:r w:rsidRPr="008A4A20">
        <w:rPr>
          <w:b/>
        </w:rPr>
        <w:t>External Advisor</w:t>
      </w:r>
    </w:p>
    <w:p w:rsidR="00480EF7" w:rsidRDefault="00480EF7" w:rsidP="00480EF7"/>
    <w:p w:rsidR="008A4A20" w:rsidRPr="008A4A20" w:rsidRDefault="008A4A20" w:rsidP="00480E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EF7" w:rsidRDefault="008A4A20" w:rsidP="00480EF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0EF7" w:rsidRDefault="00480EF7" w:rsidP="00480EF7"/>
    <w:p w:rsidR="00480EF7" w:rsidRDefault="00480EF7" w:rsidP="00480EF7"/>
    <w:p w:rsidR="00480EF7" w:rsidRDefault="00480EF7" w:rsidP="00480EF7"/>
    <w:sectPr w:rsidR="00480E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F7" w:rsidRDefault="00480EF7" w:rsidP="00480EF7">
      <w:pPr>
        <w:spacing w:after="0" w:line="240" w:lineRule="auto"/>
      </w:pPr>
      <w:r>
        <w:separator/>
      </w:r>
    </w:p>
  </w:endnote>
  <w:endnote w:type="continuationSeparator" w:id="0">
    <w:p w:rsidR="00480EF7" w:rsidRDefault="00480EF7" w:rsidP="004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F7" w:rsidRDefault="00480EF7" w:rsidP="00480EF7">
      <w:pPr>
        <w:spacing w:after="0" w:line="240" w:lineRule="auto"/>
      </w:pPr>
      <w:r>
        <w:separator/>
      </w:r>
    </w:p>
  </w:footnote>
  <w:footnote w:type="continuationSeparator" w:id="0">
    <w:p w:rsidR="00480EF7" w:rsidRDefault="00480EF7" w:rsidP="0048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F7" w:rsidRDefault="00480EF7" w:rsidP="00480EF7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AF2477" wp14:editId="0B16DAD4">
          <wp:extent cx="2084836" cy="126924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U%20Colour%20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36" cy="126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E5F"/>
    <w:multiLevelType w:val="hybridMultilevel"/>
    <w:tmpl w:val="24A6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F7"/>
    <w:rsid w:val="00480EF7"/>
    <w:rsid w:val="0068340A"/>
    <w:rsid w:val="006B24AE"/>
    <w:rsid w:val="00702350"/>
    <w:rsid w:val="00742B4B"/>
    <w:rsid w:val="007D7F3A"/>
    <w:rsid w:val="008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A2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F7"/>
  </w:style>
  <w:style w:type="paragraph" w:styleId="Footer">
    <w:name w:val="footer"/>
    <w:basedOn w:val="Normal"/>
    <w:link w:val="FooterChar"/>
    <w:uiPriority w:val="99"/>
    <w:unhideWhenUsed/>
    <w:rsid w:val="0048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F7"/>
  </w:style>
  <w:style w:type="table" w:styleId="TableGrid">
    <w:name w:val="Table Grid"/>
    <w:basedOn w:val="TableNormal"/>
    <w:uiPriority w:val="59"/>
    <w:rsid w:val="0048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A4A20"/>
    <w:rPr>
      <w:rFonts w:asciiTheme="majorHAnsi" w:eastAsiaTheme="majorEastAsia" w:hAnsiTheme="majorHAnsi" w:cstheme="majorBidi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8A4A20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A2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F7"/>
  </w:style>
  <w:style w:type="paragraph" w:styleId="Footer">
    <w:name w:val="footer"/>
    <w:basedOn w:val="Normal"/>
    <w:link w:val="FooterChar"/>
    <w:uiPriority w:val="99"/>
    <w:unhideWhenUsed/>
    <w:rsid w:val="0048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F7"/>
  </w:style>
  <w:style w:type="table" w:styleId="TableGrid">
    <w:name w:val="Table Grid"/>
    <w:basedOn w:val="TableNormal"/>
    <w:uiPriority w:val="59"/>
    <w:rsid w:val="0048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A4A20"/>
    <w:rPr>
      <w:rFonts w:asciiTheme="majorHAnsi" w:eastAsiaTheme="majorEastAsia" w:hAnsiTheme="majorHAnsi" w:cstheme="majorBidi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8A4A2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Maskell</dc:creator>
  <cp:lastModifiedBy>Emma Maskell</cp:lastModifiedBy>
  <cp:revision>3</cp:revision>
  <dcterms:created xsi:type="dcterms:W3CDTF">2016-03-23T11:09:00Z</dcterms:created>
  <dcterms:modified xsi:type="dcterms:W3CDTF">2016-03-23T11:30:00Z</dcterms:modified>
</cp:coreProperties>
</file>